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6th/ELA</w:t>
      </w:r>
      <w:r w:rsidDel="00000000" w:rsidR="00000000" w:rsidRPr="00000000">
        <w:rPr>
          <w:rFonts w:ascii="KG Fall For You" w:cs="KG Fall For You" w:eastAsia="KG Fall For You" w:hAnsi="KG Fall For You"/>
          <w:sz w:val="24"/>
          <w:szCs w:val="24"/>
          <w:rtl w:val="0"/>
        </w:rPr>
        <w:t xml:space="preserve">            </w:t>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3/17-3/21/2025</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b w:val="1"/>
                <w:color w:val="ffffff"/>
                <w:sz w:val="23"/>
                <w:szCs w:val="23"/>
                <w:shd w:fill="f5f5f5" w:val="clear"/>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0B">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C">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0D">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u w:val="single"/>
                <w:shd w:fill="fff3e0" w:val="clear"/>
                <w:rtl w:val="0"/>
              </w:rPr>
              <w:t xml:space="preserve">Identify and explain an author's rhetorical choices, including point of view, purpose, anecdotes, and figurative, connotative, and technical word meanings, to develop central and supporting ideas.</w:t>
            </w:r>
            <w:r w:rsidDel="00000000" w:rsidR="00000000" w:rsidRPr="00000000">
              <w:rPr>
                <w:rtl w:val="0"/>
              </w:rPr>
            </w:r>
          </w:p>
          <w:p w:rsidR="00000000" w:rsidDel="00000000" w:rsidP="00000000" w:rsidRDefault="00000000" w:rsidRPr="00000000" w14:paraId="0000000E">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0F">
            <w:pPr>
              <w:spacing w:after="0" w:line="240" w:lineRule="auto"/>
              <w:rPr>
                <w:rFonts w:ascii="Roboto" w:cs="Roboto" w:eastAsia="Roboto" w:hAnsi="Roboto"/>
                <w:sz w:val="23"/>
                <w:szCs w:val="23"/>
                <w:shd w:fill="e3f2fd" w:val="clear"/>
              </w:rPr>
            </w:pPr>
            <w:r w:rsidDel="00000000" w:rsidR="00000000" w:rsidRPr="00000000">
              <w:rPr>
                <w:rtl w:val="0"/>
              </w:rPr>
            </w:r>
          </w:p>
        </w:tc>
        <w:tc>
          <w:tcPr>
            <w:vAlign w:val="center"/>
          </w:tcPr>
          <w:p w:rsidR="00000000" w:rsidDel="00000000" w:rsidP="00000000" w:rsidRDefault="00000000" w:rsidRPr="00000000" w14:paraId="00000010">
            <w:pPr>
              <w:shd w:fill="fff3e0" w:val="clear"/>
              <w:spacing w:after="0" w:line="297.3913043478261" w:lineRule="auto"/>
              <w:rPr>
                <w:rFonts w:ascii="Roboto" w:cs="Roboto" w:eastAsia="Roboto" w:hAnsi="Roboto"/>
                <w:b w:val="1"/>
                <w:color w:val="ffffff"/>
                <w:sz w:val="23"/>
                <w:szCs w:val="23"/>
                <w:shd w:fill="f5f5f5" w:val="clear"/>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11">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2">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13">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4">
            <w:pPr>
              <w:shd w:fill="fff3e0" w:val="clear"/>
              <w:spacing w:after="0" w:line="276" w:lineRule="auto"/>
              <w:ind w:left="0" w:firstLine="0"/>
              <w:jc w:val="left"/>
              <w:rPr>
                <w:rFonts w:ascii="Roboto" w:cs="Roboto" w:eastAsia="Roboto" w:hAnsi="Roboto"/>
                <w:b w:val="1"/>
                <w:color w:val="ffffff"/>
                <w:sz w:val="23"/>
                <w:szCs w:val="23"/>
                <w:u w:val="single"/>
                <w:shd w:fill="f5f5f5" w:val="clear"/>
              </w:rPr>
            </w:pPr>
            <w:r w:rsidDel="00000000" w:rsidR="00000000" w:rsidRPr="00000000">
              <w:rPr>
                <w:rtl w:val="0"/>
              </w:rPr>
            </w:r>
          </w:p>
          <w:p w:rsidR="00000000" w:rsidDel="00000000" w:rsidP="00000000" w:rsidRDefault="00000000" w:rsidRPr="00000000" w14:paraId="00000015">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16">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7">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tl w:val="0"/>
              </w:rPr>
            </w:r>
          </w:p>
          <w:p w:rsidR="00000000" w:rsidDel="00000000" w:rsidP="00000000" w:rsidRDefault="00000000" w:rsidRPr="00000000" w14:paraId="00000018">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tl w:val="0"/>
              </w:rPr>
            </w:r>
          </w:p>
        </w:tc>
        <w:tc>
          <w:tcPr>
            <w:vAlign w:val="center"/>
          </w:tcPr>
          <w:p w:rsidR="00000000" w:rsidDel="00000000" w:rsidP="00000000" w:rsidRDefault="00000000" w:rsidRPr="00000000" w14:paraId="00000019">
            <w:pPr>
              <w:shd w:fill="fff3e0" w:val="clear"/>
              <w:spacing w:after="0" w:line="297.3913043478261" w:lineRule="auto"/>
              <w:rPr>
                <w:rFonts w:ascii="Roboto" w:cs="Roboto" w:eastAsia="Roboto" w:hAnsi="Roboto"/>
                <w:b w:val="1"/>
                <w:color w:val="ffffff"/>
                <w:sz w:val="23"/>
                <w:szCs w:val="23"/>
                <w:shd w:fill="f5f5f5" w:val="clear"/>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1A">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B">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C">
            <w:pPr>
              <w:shd w:fill="fff3e0" w:val="clear"/>
              <w:spacing w:after="0" w:line="276" w:lineRule="auto"/>
              <w:rPr>
                <w:rFonts w:ascii="Roboto" w:cs="Roboto" w:eastAsia="Roboto" w:hAnsi="Roboto"/>
                <w:b w:val="1"/>
                <w:color w:val="ffffff"/>
                <w:sz w:val="23"/>
                <w:szCs w:val="23"/>
                <w:u w:val="single"/>
                <w:shd w:fill="f5f5f5" w:val="clear"/>
              </w:rPr>
            </w:pPr>
            <w:r w:rsidDel="00000000" w:rsidR="00000000" w:rsidRPr="00000000">
              <w:rPr>
                <w:rtl w:val="0"/>
              </w:rPr>
            </w:r>
          </w:p>
          <w:p w:rsidR="00000000" w:rsidDel="00000000" w:rsidP="00000000" w:rsidRDefault="00000000" w:rsidRPr="00000000" w14:paraId="0000001D">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1E">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ELA21.6.27Discover word meanings by analyzing word parts, examining connotation and denotation, or using print or digital reference tools.</w:t>
            </w:r>
          </w:p>
          <w:p w:rsidR="00000000" w:rsidDel="00000000" w:rsidP="00000000" w:rsidRDefault="00000000" w:rsidRPr="00000000" w14:paraId="0000001F">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0">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1">
            <w:pPr>
              <w:shd w:fill="fff3e0" w:val="clear"/>
              <w:spacing w:after="0" w:line="297.3913043478261" w:lineRule="auto"/>
              <w:rPr>
                <w:rFonts w:ascii="Roboto" w:cs="Roboto" w:eastAsia="Roboto" w:hAnsi="Roboto"/>
                <w:b w:val="1"/>
                <w:color w:val="ffffff"/>
                <w:sz w:val="23"/>
                <w:szCs w:val="23"/>
                <w:shd w:fill="f5f5f5" w:val="clear"/>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22">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3">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4">
            <w:pPr>
              <w:shd w:fill="fff3e0" w:val="clear"/>
              <w:spacing w:after="0" w:line="276" w:lineRule="auto"/>
              <w:rPr>
                <w:rFonts w:ascii="Roboto" w:cs="Roboto" w:eastAsia="Roboto" w:hAnsi="Roboto"/>
                <w:b w:val="1"/>
                <w:color w:val="ffffff"/>
                <w:sz w:val="23"/>
                <w:szCs w:val="23"/>
                <w:u w:val="single"/>
                <w:shd w:fill="f5f5f5" w:val="clear"/>
              </w:rPr>
            </w:pPr>
            <w:r w:rsidDel="00000000" w:rsidR="00000000" w:rsidRPr="00000000">
              <w:rPr>
                <w:rtl w:val="0"/>
              </w:rPr>
            </w:r>
          </w:p>
          <w:p w:rsidR="00000000" w:rsidDel="00000000" w:rsidP="00000000" w:rsidRDefault="00000000" w:rsidRPr="00000000" w14:paraId="00000025">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26">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7">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8">
            <w:pPr>
              <w:shd w:fill="fff3e0" w:val="clear"/>
              <w:spacing w:after="0" w:line="297.3913043478261" w:lineRule="auto"/>
              <w:rPr>
                <w:rFonts w:ascii="Roboto" w:cs="Roboto" w:eastAsia="Roboto" w:hAnsi="Roboto"/>
                <w:b w:val="1"/>
                <w:color w:val="ffffff"/>
                <w:sz w:val="23"/>
                <w:szCs w:val="23"/>
                <w:shd w:fill="f5f5f5" w:val="clear"/>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29">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A">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B">
            <w:pPr>
              <w:shd w:fill="fff3e0" w:val="clear"/>
              <w:spacing w:after="0" w:line="276" w:lineRule="auto"/>
              <w:rPr>
                <w:rFonts w:ascii="Roboto" w:cs="Roboto" w:eastAsia="Roboto" w:hAnsi="Roboto"/>
                <w:b w:val="1"/>
                <w:color w:val="ffffff"/>
                <w:sz w:val="23"/>
                <w:szCs w:val="23"/>
                <w:u w:val="single"/>
                <w:shd w:fill="f5f5f5" w:val="clear"/>
              </w:rPr>
            </w:pPr>
            <w:r w:rsidDel="00000000" w:rsidR="00000000" w:rsidRPr="00000000">
              <w:rPr>
                <w:rtl w:val="0"/>
              </w:rPr>
            </w:r>
          </w:p>
          <w:p w:rsidR="00000000" w:rsidDel="00000000" w:rsidP="00000000" w:rsidRDefault="00000000" w:rsidRPr="00000000" w14:paraId="0000002C">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Fonts w:ascii="Roboto" w:cs="Roboto" w:eastAsia="Roboto" w:hAnsi="Roboto"/>
                <w:sz w:val="23"/>
                <w:szCs w:val="23"/>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2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E">
            <w:pPr>
              <w:shd w:fill="fff3e0" w:val="clear"/>
              <w:spacing w:after="0" w:line="297.3913043478261" w:lineRule="auto"/>
              <w:rPr>
                <w:rFonts w:ascii="Roboto" w:cs="Roboto" w:eastAsia="Roboto" w:hAnsi="Roboto"/>
                <w:sz w:val="23"/>
                <w:szCs w:val="23"/>
                <w:u w:val="single"/>
                <w:shd w:fill="fff3e0" w:val="clear"/>
              </w:rPr>
            </w:pP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3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3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use context clues to figure out the meanings of unknown words.</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informational texts.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 can correct my usage of pronouns in sentences. </w:t>
            </w:r>
          </w:p>
        </w:tc>
        <w:tc>
          <w:tcPr>
            <w:vAlign w:val="center"/>
          </w:tcPr>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 can use words that have multiple meanings.</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the different elements of literature.</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I can correct my usage of pronouns in sentences. </w:t>
            </w:r>
          </w:p>
        </w:tc>
        <w:tc>
          <w:tcPr>
            <w:vAlign w:val="center"/>
          </w:tcPr>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I can know the difference between connotations and denotations.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the different elements of literature.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I can correct my usage of pronouns in sentences. </w:t>
            </w:r>
          </w:p>
        </w:tc>
        <w:tc>
          <w:tcPr>
            <w:tcMar>
              <w:top w:w="72.0" w:type="dxa"/>
              <w:left w:w="101.0" w:type="dxa"/>
              <w:bottom w:w="72.0" w:type="dxa"/>
              <w:right w:w="101.0" w:type="dxa"/>
            </w:tcMar>
            <w:vAlign w:val="center"/>
          </w:tcPr>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figurative language.</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the different elements of literature.</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I can correct my usage of pronouns in sentences. </w:t>
            </w:r>
          </w:p>
        </w:tc>
        <w:tc>
          <w:tcP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figurative language.</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 can take a practice ACAP test. </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I can correct my usage of pronouns in sentences.</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4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45">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Context Clues Bellringer</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Informational Texts Chapter in ACAP Practice Book</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Context Clues and Informational Texts</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Practice on Pronouns </w:t>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Words with Multiple Meanings Bellringer</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Elements of Literature in ACAP Practice Book</w:t>
            </w:r>
          </w:p>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Words with Multiple Meanings and Elements of Literature</w:t>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Practice on Pronouns </w:t>
            </w:r>
          </w:p>
        </w:tc>
        <w:tc>
          <w:tcP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Connotations/Denotations</w:t>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Elements of Literature in ACAP Practice Book</w:t>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Words with Connotations/Denotations and Elements of Literature</w:t>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Grammar Practice on Antecedents</w:t>
            </w:r>
          </w:p>
        </w:tc>
        <w:tc>
          <w:tcPr>
            <w:tcMar>
              <w:top w:w="72.0" w:type="dxa"/>
              <w:left w:w="101.0" w:type="dxa"/>
              <w:bottom w:w="72.0" w:type="dxa"/>
              <w:right w:w="101.0" w:type="dxa"/>
            </w:tcMar>
            <w:vAlign w:val="center"/>
          </w:tcPr>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Figurative Language</w:t>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During: </w:t>
            </w:r>
            <w:r w:rsidDel="00000000" w:rsidR="00000000" w:rsidRPr="00000000">
              <w:rPr>
                <w:rFonts w:ascii="Arial" w:cs="Arial" w:eastAsia="Arial" w:hAnsi="Arial"/>
                <w:sz w:val="18"/>
                <w:szCs w:val="18"/>
                <w:highlight w:val="yellow"/>
                <w:rtl w:val="0"/>
              </w:rPr>
              <w:t xml:space="preserve">Daily Grade on informational texts, elements of literature, vocabulary, and pronouns</w:t>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Grammar Practice on Pronouns and IXL</w:t>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Figurative Language</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Practice ACAP Test</w:t>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Grammar Practice on Pronouns and IXL</w:t>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67">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G 1-4 - will be taken for a daily grade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 1-5</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 1-4 - will be taken for a daily grade</w:t>
            </w:r>
          </w:p>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1-5</w:t>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 1-4 - will be taken for a daily grade</w:t>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1-5</w:t>
            </w:r>
          </w:p>
        </w:tc>
        <w:tc>
          <w:tcPr>
            <w:tcMar>
              <w:top w:w="72.0" w:type="dxa"/>
              <w:left w:w="101.0" w:type="dxa"/>
              <w:bottom w:w="72.0" w:type="dxa"/>
              <w:right w:w="101.0" w:type="dxa"/>
            </w:tcMar>
            <w:vAlign w:val="center"/>
          </w:tcPr>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 1-4 - will be taken for a daily grade</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1-5</w:t>
            </w:r>
          </w:p>
        </w:tc>
        <w:tc>
          <w:tcPr>
            <w:tcMar>
              <w:top w:w="72.0" w:type="dxa"/>
              <w:left w:w="101.0" w:type="dxa"/>
              <w:bottom w:w="72.0" w:type="dxa"/>
              <w:right w:w="101.0" w:type="dxa"/>
            </w:tcMar>
            <w:vAlign w:val="center"/>
          </w:tcPr>
          <w:p w:rsidR="00000000" w:rsidDel="00000000" w:rsidP="00000000" w:rsidRDefault="00000000" w:rsidRPr="00000000" w14:paraId="00000070">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G 1-4 - due for a daily grade</w:t>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1-5</w:t>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2">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7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76">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78">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r>
      <w:tr>
        <w:trPr>
          <w:cantSplit w:val="0"/>
          <w:trHeight w:val="296" w:hRule="atLeast"/>
          <w:tblHeader w:val="0"/>
        </w:trPr>
        <w:tc>
          <w:tcPr>
            <w:gridSpan w:val="6"/>
          </w:tcPr>
          <w:p w:rsidR="00000000" w:rsidDel="00000000" w:rsidP="00000000" w:rsidRDefault="00000000" w:rsidRPr="00000000" w14:paraId="0000007A">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Whole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Small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7B">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Formative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Summative</w:t>
            </w:r>
          </w:p>
          <w:p w:rsidR="00000000" w:rsidDel="00000000" w:rsidP="00000000" w:rsidRDefault="00000000" w:rsidRPr="00000000" w14:paraId="0000007D">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85">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