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350"/>
      </w:tblGrid>
      <w:tr>
        <w:trPr>
          <w:trHeight w:val="451" w:hRule="atLeast"/>
        </w:trPr>
        <w:tc>
          <w:tcPr>
            <w:tcW w:w="15350" w:type="dxa"/>
            <w:tcBorders/>
            <w:shd w:fill="auto" w:val="clear"/>
          </w:tcPr>
          <w:p>
            <w:pPr>
              <w:pStyle w:val="Title"/>
              <w:spacing w:lineRule="auto" w:line="276" w:before="115" w:after="115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5350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5350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230" w:after="29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900" w:type="pct"/>
        <w:jc w:val="center"/>
        <w:tblInd w:w="0" w:type="dxa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</w:tblPr>
      <w:tblGrid>
        <w:gridCol w:w="4964"/>
        <w:gridCol w:w="149"/>
        <w:gridCol w:w="4964"/>
        <w:gridCol w:w="151"/>
        <w:gridCol w:w="4815"/>
      </w:tblGrid>
      <w:tr>
        <w:trPr>
          <w:trHeight w:val="3600" w:hRule="atLeast"/>
          <w:cantSplit w:val="true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Vision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0" w:name="__UnoMark__658456_3634261528"/>
            <w:bookmarkStart w:id="1" w:name="__UnoMark__658454_3634261528"/>
            <w:bookmarkStart w:id="2" w:name="__UnoMark__658452_3634261528"/>
            <w:bookmarkEnd w:id="0"/>
            <w:bookmarkEnd w:id="1"/>
            <w:bookmarkEnd w:id="2"/>
            <w:r>
              <w:rPr/>
              <w:t>Respectful, Responsible, Resourceful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Mission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3" w:name="__UnoMark__658461_3634261528"/>
            <w:bookmarkStart w:id="4" w:name="__UnoMark__658459_3634261528"/>
            <w:bookmarkStart w:id="5" w:name="__UnoMark__658457_3634261528"/>
            <w:bookmarkEnd w:id="3"/>
            <w:bookmarkEnd w:id="4"/>
            <w:bookmarkEnd w:id="5"/>
            <w:r>
              <w:rPr/>
              <w:t>The mission of Florala High School is to provide students with the skills and knowledge needed to become respectful,  responsible, and resourceful members of society.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6.2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Beliefs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keepNext w:val="true"/>
              <w:bidi w:val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b w:val="false"/>
                <w:i w:val="false"/>
                <w:color w:val="000000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6" w:name="__UnoMark__658466_3634261528"/>
            <w:bookmarkStart w:id="7" w:name="__UnoMark__658464_3634261528"/>
            <w:bookmarkStart w:id="8" w:name="__UnoMark__658462_3634261528"/>
            <w:bookmarkEnd w:id="6"/>
            <w:bookmarkEnd w:id="7"/>
            <w:bookmarkEnd w:id="8"/>
            <w:r>
              <w:rPr/>
              <w:t>Meeting the educational needs of our students is the primary focus of all decisions impacting the work of the school. Each student is a valued individual with unique physical, social, emotional, and intellectual needs. A safe and physically comfortable environment promotes student learning.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2385060" cy="457200"/>
                  <wp:effectExtent l="0" t="0" r="0" b="0"/>
                  <wp:docPr id="9" name="imgfit_var_image1-DM-Z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Z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Strategic Teaching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59.5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Strategic Teaching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2409825" cy="457200"/>
                  <wp:effectExtent l="0" t="0" r="0" b="0"/>
                  <wp:docPr id="11" name="imgfit_var_image2-DM-Y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Y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Diversified Curriculum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59.5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Diversified Curriculum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2409825" cy="457200"/>
                  <wp:effectExtent l="0" t="0" r="0" b="0"/>
                  <wp:docPr id="13" name="imgfit_var_image3-DM-X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X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Social-Emotional Support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59.5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Social-Emotional Support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2409825" cy="457200"/>
                  <wp:effectExtent l="0" t="0" r="0" b="0"/>
                  <wp:docPr id="15" name="imgfit_var_image4-DM-M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image4-DM-M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59.5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>
        <w:trPr>
          <w:tblHeader w:val="true"/>
          <w:cantSplit w:val="true"/>
        </w:trPr>
        <w:tc>
          <w:tcPr>
            <w:tcW w:w="379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190" cy="182880"/>
                  <wp:effectExtent l="0" t="0" r="0" b="0"/>
                  <wp:docPr id="17" name="imgfit_var_objimage1-DM-L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1-DM-L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19" name="imgfit_var_objimage2-DM-M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2-DM-M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21" name="imgfit_var_objimage3-DM-V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objimage3-DM-V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23" name="imgfit_var_objimage4-DM-I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objimage4-DM-I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scores of 7th and 8th-grade students will improve from a score of 2 to a score of 3.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have the opportunity to explore extracurricular activities, elective activities, dual enrollment, and co-op opportunities.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the availability to provide virtual school options.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social-emotional services and support available to students on a weekly basis through the Covington County Schools Mental Health Specialist.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receive training in scientifically research-based programs to improve classroom instruction and remediate students.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>
        <w:trPr>
          <w:tblHeader w:val="true"/>
          <w:cantSplit w:val="true"/>
        </w:trPr>
        <w:tc>
          <w:tcPr>
            <w:tcW w:w="379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190" cy="182880"/>
                  <wp:effectExtent l="0" t="0" r="0" b="0"/>
                  <wp:docPr id="25" name="imgfit_var_initimage1-DM-Q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1-DM-Q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27" name="imgfit_var_initimage2-DM-D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initimage2-DM-D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29" name="imgfit_var_initimage3-DM-M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initimage3-DM-M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31" name="imgfit_var_initimage4-DM-X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initimage4-DM-X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instruction via Exact Path as well as teacher implemented strategies will be used to remediate students performing at an achievement level of 2.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instruction via Stride, Exact Path, and one-on-one strategic teaching will be used to remediate students performing on an achievement level of 2 during enrichment/ intervention classes.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offered activities including, but not limited to Computer Science, Esports, News Team, Drama, Drug/Alcohol Safety Training, Wildcat Wednesday, and dual enrollment.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Plato Courseware and ACCESS will be provided for students in grades 9-12 choosing virtual school. 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visits scheduled and documented by the specialist.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or classroom presentations and social interventions as needed.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Stride Training will be held for all 7th and 8th-grade teachers.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Path training will be held for all new teachers.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ACAP training and evaluation of ACAP assessment data will be presented to staff.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PowerSchool/PowerTeacher training will be assigned to all staff members.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Math teachers will attend training for the new curriculum-Savvas Realize.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794"/>
        <w:gridCol w:w="57"/>
        <w:gridCol w:w="3795"/>
        <w:gridCol w:w="57"/>
        <w:gridCol w:w="3795"/>
        <w:gridCol w:w="57"/>
        <w:gridCol w:w="3795"/>
      </w:tblGrid>
      <w:tr>
        <w:trPr>
          <w:tblHeader w:val="true"/>
          <w:cantSplit w:val="true"/>
        </w:trPr>
        <w:tc>
          <w:tcPr>
            <w:tcW w:w="379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190" cy="182880"/>
                  <wp:effectExtent l="0" t="0" r="0" b="0"/>
                  <wp:docPr id="33" name="imgfit_var_keyimage1-DM-T1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keyimage1-DM-T1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35" name="imgfit_var_keyimage2-DM-N1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keyimage2-DM-N1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37" name="imgfit_var_keyimage3-DM-S1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fit_var_keyimage3-DM-S1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2409825" cy="182880"/>
                  <wp:effectExtent l="0" t="0" r="0" b="0"/>
                  <wp:docPr id="39" name="imgfit_var_keyimage4-DM-V1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keyimage4-DM-V1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58.8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Path Diagnostic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ACAP Summative Assessment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Student/Teacher Observations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Student/Teacher Surveys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grade level standards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Progress Monitoring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Participation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Surveys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Observation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Path Diagnostic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ACAP Summative Assessment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grade level standards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Observations/Surveys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8"/>
      <w:type w:val="nextPage"/>
      <w:pgSz w:orient="landscape" w:w="15840" w:h="12240"/>
      <w:pgMar w:left="245" w:right="245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4179"/>
      <w:gridCol w:w="4179"/>
      <w:gridCol w:w="4181"/>
    </w:tblGrid>
    <w:tr>
      <w:trPr/>
      <w:tc>
        <w:tcPr>
          <w:tcW w:w="4179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40" name="Image25-DM-N0Image25-DM-C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5-DM-N0Image25-DM-C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>Strategy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 </w:t>
          </w:r>
          <w:r>
            <w:rPr>
              <w:rFonts w:ascii="Avenir" w:hAnsi="Avenir"/>
              <w:b/>
              <w:bCs/>
              <w:sz w:val="22"/>
              <w:szCs w:val="22"/>
            </w:rPr>
            <w:t>Map</w:t>
          </w:r>
        </w:p>
      </w:tc>
      <w:tc>
        <w:tcPr>
          <w:tcW w:w="4181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115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style">
    <w:name w:val="Topstyle"/>
    <w:basedOn w:val="TableContents"/>
    <w:qFormat/>
    <w:pPr>
      <w:pBdr/>
      <w:tabs>
        <w:tab w:val="left" w:pos="72" w:leader="none"/>
      </w:tabs>
      <w:bidi w:val="0"/>
      <w:spacing w:before="0" w:after="0"/>
      <w:ind w:left="0" w:right="0" w:hanging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10383</TotalTime>
  <Application>LibreOffice/5.4.5.1$Windows_X86_64 LibreOffice_project/79c9829dd5d8054ec39a82dc51cd9eff340dbee8</Application>
  <Pages>2</Pages>
  <Words>391</Words>
  <Characters>2260</Characters>
  <CharactersWithSpaces>2588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2020-01-15T09:15:28Z</dcterms:modified>
  <cp:revision>937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