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6th/Writing Enrichment</w:t>
      </w:r>
      <w:r w:rsidDel="00000000" w:rsidR="00000000" w:rsidRPr="00000000">
        <w:rPr>
          <w:rFonts w:ascii="KG Fall For You" w:cs="KG Fall For You" w:eastAsia="KG Fall For You" w:hAnsi="KG Fall For You"/>
          <w:sz w:val="24"/>
          <w:szCs w:val="24"/>
          <w:rtl w:val="0"/>
        </w:rPr>
        <w:t xml:space="preserve">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10/21-25/2024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answer questions on comprehension. </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 </w:t>
            </w:r>
          </w:p>
        </w:tc>
        <w:tc>
          <w:tcP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answer questions on comprehension.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 </w:t>
            </w:r>
          </w:p>
        </w:tc>
        <w:tc>
          <w:tcP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 </w:t>
            </w:r>
          </w:p>
        </w:tc>
        <w:tc>
          <w:tcPr>
            <w:tcMar>
              <w:top w:w="72.0" w:type="dxa"/>
              <w:left w:w="101.0" w:type="dxa"/>
              <w:bottom w:w="72.0" w:type="dxa"/>
              <w:right w:w="101.0" w:type="dxa"/>
            </w:tcMar>
            <w:vAlign w:val="center"/>
          </w:tcPr>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 </w:t>
            </w:r>
          </w:p>
        </w:tc>
        <w:tc>
          <w:tcPr>
            <w:tcMar>
              <w:top w:w="72.0" w:type="dxa"/>
              <w:left w:w="101.0" w:type="dxa"/>
              <w:bottom w:w="72.0" w:type="dxa"/>
              <w:right w:w="101.0" w:type="dxa"/>
            </w:tcMar>
            <w:vAlign w:val="center"/>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tc>
        <w:tc>
          <w:tcPr>
            <w:vAlign w:val="center"/>
          </w:tcPr>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tc>
        <w:tc>
          <w:tcPr>
            <w:vAlign w:val="center"/>
          </w:tcPr>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tc>
        <w:tc>
          <w:tcPr>
            <w:vAlign w:val="center"/>
          </w:tcPr>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tc>
        <w:tc>
          <w:tcPr>
            <w:vAlign w:val="center"/>
          </w:tcPr>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61">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6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6F">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Reading Comprehension Passage on Heat Conduction and Insulation</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Students will read the passage and answer multiple choice and text dependent questions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Comprehension Passage on Making Movies</w:t>
            </w:r>
          </w:p>
          <w:p w:rsidR="00000000" w:rsidDel="00000000" w:rsidP="00000000" w:rsidRDefault="00000000" w:rsidRPr="00000000" w14:paraId="00000074">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the passage and answer multiple choice and text dependent questions</w:t>
            </w:r>
          </w:p>
          <w:p w:rsidR="00000000" w:rsidDel="00000000" w:rsidP="00000000" w:rsidRDefault="00000000" w:rsidRPr="00000000" w14:paraId="00000075">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This will be for a </w:t>
            </w:r>
            <w:r w:rsidDel="00000000" w:rsidR="00000000" w:rsidRPr="00000000">
              <w:rPr>
                <w:rFonts w:ascii="Arial" w:cs="Arial" w:eastAsia="Arial" w:hAnsi="Arial"/>
                <w:sz w:val="18"/>
                <w:szCs w:val="18"/>
                <w:highlight w:val="yellow"/>
                <w:rtl w:val="0"/>
              </w:rPr>
              <w:t xml:space="preserve">daily grade.</w:t>
            </w:r>
          </w:p>
        </w:tc>
        <w:tc>
          <w:tcPr>
            <w:tcMar>
              <w:top w:w="72.0" w:type="dxa"/>
              <w:left w:w="101.0" w:type="dxa"/>
              <w:bottom w:w="72.0" w:type="dxa"/>
              <w:right w:w="101.0" w:type="dxa"/>
            </w:tcMar>
            <w:vAlign w:val="center"/>
          </w:tcPr>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Worksheet</w:t>
            </w:r>
          </w:p>
          <w:p w:rsidR="00000000" w:rsidDel="00000000" w:rsidP="00000000" w:rsidRDefault="00000000" w:rsidRPr="00000000" w14:paraId="00000077">
            <w:pPr>
              <w:numPr>
                <w:ilvl w:val="0"/>
                <w:numId w:val="1"/>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Students will work with a partner to identify the different elements of a story.</w:t>
            </w:r>
          </w:p>
          <w:p w:rsidR="00000000" w:rsidDel="00000000" w:rsidP="00000000" w:rsidRDefault="00000000" w:rsidRPr="00000000" w14:paraId="00000078">
            <w:pPr>
              <w:spacing w:after="0" w:line="240" w:lineRule="auto"/>
              <w:ind w:left="720" w:firstLine="0"/>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Worksheet</w:t>
            </w:r>
          </w:p>
          <w:p w:rsidR="00000000" w:rsidDel="00000000" w:rsidP="00000000" w:rsidRDefault="00000000" w:rsidRPr="00000000" w14:paraId="0000007A">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different elements of a story.</w:t>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Worksheet</w:t>
            </w:r>
          </w:p>
          <w:p w:rsidR="00000000" w:rsidDel="00000000" w:rsidP="00000000" w:rsidRDefault="00000000" w:rsidRPr="00000000" w14:paraId="0000007C">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different elements of a story.</w:t>
            </w:r>
          </w:p>
          <w:p w:rsidR="00000000" w:rsidDel="00000000" w:rsidP="00000000" w:rsidRDefault="00000000" w:rsidRPr="00000000" w14:paraId="0000007D">
            <w:pPr>
              <w:spacing w:after="0" w:line="240"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Homework is due for a cumulative </w:t>
            </w:r>
            <w:r w:rsidDel="00000000" w:rsidR="00000000" w:rsidRPr="00000000">
              <w:rPr>
                <w:rFonts w:ascii="Arial" w:cs="Arial" w:eastAsia="Arial" w:hAnsi="Arial"/>
                <w:sz w:val="18"/>
                <w:szCs w:val="18"/>
                <w:highlight w:val="yellow"/>
                <w:rtl w:val="0"/>
              </w:rPr>
              <w:t xml:space="preserve">daily grade.</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F">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0">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passage. </w:t>
            </w:r>
          </w:p>
          <w:p w:rsidR="00000000" w:rsidDel="00000000" w:rsidP="00000000" w:rsidRDefault="00000000" w:rsidRPr="00000000" w14:paraId="00000082">
            <w:pPr>
              <w:numPr>
                <w:ilvl w:val="0"/>
                <w:numId w:val="3"/>
              </w:numPr>
              <w:spacing w:after="0" w:line="240"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Students can work on homework if time permits.</w:t>
            </w:r>
          </w:p>
        </w:tc>
        <w:tc>
          <w:tcPr>
            <w:tcMar>
              <w:top w:w="72.0" w:type="dxa"/>
              <w:left w:w="101.0" w:type="dxa"/>
              <w:bottom w:w="72.0" w:type="dxa"/>
              <w:right w:w="101.0" w:type="dxa"/>
            </w:tcMar>
            <w:vAlign w:val="center"/>
          </w:tcPr>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go over the quiz from last week so students can see what they missed. </w:t>
            </w:r>
          </w:p>
          <w:p w:rsidR="00000000" w:rsidDel="00000000" w:rsidP="00000000" w:rsidRDefault="00000000" w:rsidRPr="00000000" w14:paraId="00000084">
            <w:pPr>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structure of the story. </w:t>
            </w:r>
          </w:p>
          <w:p w:rsidR="00000000" w:rsidDel="00000000" w:rsidP="00000000" w:rsidRDefault="00000000" w:rsidRPr="00000000" w14:paraId="00000086">
            <w:pPr>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c>
          <w:tcPr>
            <w:tcMar>
              <w:top w:w="72.0" w:type="dxa"/>
              <w:left w:w="101.0" w:type="dxa"/>
              <w:bottom w:w="72.0" w:type="dxa"/>
              <w:right w:w="101.0" w:type="dxa"/>
            </w:tcMar>
            <w:vAlign w:val="center"/>
          </w:tcPr>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structure of the story. </w:t>
            </w:r>
          </w:p>
          <w:p w:rsidR="00000000" w:rsidDel="00000000" w:rsidP="00000000" w:rsidRDefault="00000000" w:rsidRPr="00000000" w14:paraId="00000088">
            <w:pPr>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c>
          <w:tcPr>
            <w:tcMar>
              <w:top w:w="72.0" w:type="dxa"/>
              <w:left w:w="101.0" w:type="dxa"/>
              <w:bottom w:w="72.0" w:type="dxa"/>
              <w:right w:w="101.0" w:type="dxa"/>
            </w:tcMar>
            <w:vAlign w:val="center"/>
          </w:tcPr>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structure of the story. </w:t>
            </w:r>
          </w:p>
          <w:p w:rsidR="00000000" w:rsidDel="00000000" w:rsidP="00000000" w:rsidRDefault="00000000" w:rsidRPr="00000000" w14:paraId="0000008A">
            <w:pPr>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8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8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5ku1n9qq954"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gks3ntthlr9"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8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5716tlqv7yg"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bpkcy407hka" w:id="4"/>
            <w:bookmarkEnd w:id="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1">
            <w:pPr>
              <w:pStyle w:val="Heading4"/>
              <w:keepNext w:val="0"/>
              <w:keepLines w:val="0"/>
              <w:shd w:fill="ffffff" w:val="clear"/>
              <w:spacing w:after="0" w:before="0" w:line="270" w:lineRule="auto"/>
              <w:rPr>
                <w:rFonts w:ascii="Arial" w:cs="Arial" w:eastAsia="Arial" w:hAnsi="Arial"/>
                <w:sz w:val="18"/>
                <w:szCs w:val="18"/>
              </w:rPr>
            </w:pPr>
            <w:bookmarkStart w:colFirst="0" w:colLast="0" w:name="_69dcywkd3za5" w:id="5"/>
            <w:bookmarkEnd w:id="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9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wn4bvrppa8" w:id="6"/>
            <w:bookmarkEnd w:id="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k8v5nscrgz5" w:id="7"/>
            <w:bookmarkEnd w:id="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o3hs4gkb2a1" w:id="8"/>
            <w:bookmarkEnd w:id="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3c88lusihwy" w:id="9"/>
            <w:bookmarkEnd w:id="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6">
            <w:pPr>
              <w:pStyle w:val="Heading4"/>
              <w:keepNext w:val="0"/>
              <w:keepLines w:val="0"/>
              <w:shd w:fill="ffffff" w:val="clear"/>
              <w:spacing w:after="0" w:before="0" w:line="270" w:lineRule="auto"/>
              <w:rPr>
                <w:rFonts w:ascii="Arial" w:cs="Arial" w:eastAsia="Arial" w:hAnsi="Arial"/>
                <w:sz w:val="18"/>
                <w:szCs w:val="18"/>
              </w:rPr>
            </w:pPr>
            <w:bookmarkStart w:colFirst="0" w:colLast="0" w:name="_3byrlawuhb6w" w:id="10"/>
            <w:bookmarkEnd w:id="1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9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9hu9j5b1o3n"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w7wthmxwypm" w:id="12"/>
            <w:bookmarkEnd w:id="1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d8b1a4fboeq"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mj0l39zzuf3" w:id="14"/>
            <w:bookmarkEnd w:id="1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B">
            <w:pPr>
              <w:pStyle w:val="Heading4"/>
              <w:keepNext w:val="0"/>
              <w:keepLines w:val="0"/>
              <w:shd w:fill="ffffff" w:val="clear"/>
              <w:spacing w:after="0" w:before="0" w:line="270" w:lineRule="auto"/>
              <w:rPr>
                <w:rFonts w:ascii="Arial" w:cs="Arial" w:eastAsia="Arial" w:hAnsi="Arial"/>
                <w:sz w:val="18"/>
                <w:szCs w:val="18"/>
              </w:rPr>
            </w:pPr>
            <w:bookmarkStart w:colFirst="0" w:colLast="0" w:name="_ipeqx61dmxin" w:id="15"/>
            <w:bookmarkEnd w:id="1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h7bi4xxy8tb"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2vxku8kityl" w:id="17"/>
            <w:bookmarkEnd w:id="1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44weceu9an6" w:id="18"/>
            <w:bookmarkEnd w:id="1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ufec2cxoono" w:id="19"/>
            <w:bookmarkEnd w:id="1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sz w:val="18"/>
                <w:szCs w:val="18"/>
              </w:rPr>
            </w:pPr>
            <w:bookmarkStart w:colFirst="0" w:colLast="0" w:name="_324lhgy941gf" w:id="20"/>
            <w:bookmarkEnd w:id="2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A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rut0xekvotq" w:id="21"/>
            <w:bookmarkEnd w:id="2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vs7ct94x05v" w:id="22"/>
            <w:bookmarkEnd w:id="2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bym10qh2jvv" w:id="23"/>
            <w:bookmarkEnd w:id="2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k1uqv2wz24u" w:id="24"/>
            <w:bookmarkEnd w:id="2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sz w:val="18"/>
                <w:szCs w:val="18"/>
              </w:rPr>
            </w:pPr>
            <w:bookmarkStart w:colFirst="0" w:colLast="0" w:name="_4yuyzbtj6p19" w:id="25"/>
            <w:bookmarkEnd w:id="2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A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w:t>
            </w:r>
            <w:r w:rsidDel="00000000" w:rsidR="00000000" w:rsidRPr="00000000">
              <w:rPr>
                <w:rtl w:val="0"/>
              </w:rPr>
            </w:r>
          </w:p>
        </w:tc>
        <w:tc>
          <w:tcPr>
            <w:vAlign w:val="center"/>
          </w:tcPr>
          <w:p w:rsidR="00000000" w:rsidDel="00000000" w:rsidP="00000000" w:rsidRDefault="00000000" w:rsidRPr="00000000" w14:paraId="000000A9">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AA">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AB">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A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A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tov9i8q11s5" w:id="26"/>
            <w:bookmarkEnd w:id="2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6sx1f95pser" w:id="27"/>
            <w:bookmarkEnd w:id="2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jg3cngikvu6" w:id="28"/>
            <w:bookmarkEnd w:id="2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hgubw6uswlv" w:id="29"/>
            <w:bookmarkEnd w:id="2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l7rav7vupwv" w:id="30"/>
            <w:bookmarkEnd w:id="3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B2">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B8">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 </w:t>
            </w:r>
          </w:p>
        </w:tc>
        <w:tc>
          <w:tcPr>
            <w:gridSpan w:val="3"/>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ACAP Bellringers taken from Lumos Learning Connotative Words and Phrases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6">
              <w:r w:rsidDel="00000000" w:rsidR="00000000" w:rsidRPr="00000000">
                <w:rPr>
                  <w:rFonts w:ascii="Arial" w:cs="Arial" w:eastAsia="Arial" w:hAnsi="Arial"/>
                  <w:b w:val="1"/>
                  <w:color w:val="1155cc"/>
                  <w:sz w:val="18"/>
                  <w:szCs w:val="18"/>
                  <w:u w:val="single"/>
                  <w:rtl w:val="0"/>
                </w:rPr>
                <w:t xml:space="preserve">https://www.lumoslearning.com/llwp/resources/free-math-english-worksheets/sample-worksheets.html?cur=15790&amp;id=922953</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Monday and Tuesdays Worksheets on Comprehension </w:t>
            </w:r>
            <w:hyperlink r:id="rId7">
              <w:r w:rsidDel="00000000" w:rsidR="00000000" w:rsidRPr="00000000">
                <w:rPr>
                  <w:rFonts w:ascii="Arial" w:cs="Arial" w:eastAsia="Arial" w:hAnsi="Arial"/>
                  <w:b w:val="1"/>
                  <w:color w:val="1155cc"/>
                  <w:sz w:val="18"/>
                  <w:szCs w:val="18"/>
                  <w:u w:val="single"/>
                  <w:rtl w:val="0"/>
                </w:rPr>
                <w:t xml:space="preserve">https://www.easyteacherworksheets.com/langarts/readingcomp-grade6.html</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Wednesday through Friday Structure of a Story Worksheets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8">
              <w:r w:rsidDel="00000000" w:rsidR="00000000" w:rsidRPr="00000000">
                <w:rPr>
                  <w:rFonts w:ascii="Arial" w:cs="Arial" w:eastAsia="Arial" w:hAnsi="Arial"/>
                  <w:b w:val="1"/>
                  <w:color w:val="1155cc"/>
                  <w:sz w:val="18"/>
                  <w:szCs w:val="18"/>
                  <w:u w:val="single"/>
                  <w:rtl w:val="0"/>
                </w:rPr>
                <w:t xml:space="preserve">https://www.ereadingworksheets.com/free-reading-worksheets/story-structure/story-structure-worksheets/</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Homework on Connotation and Denotation taken from SuperTeacher Worksheets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9">
              <w:r w:rsidDel="00000000" w:rsidR="00000000" w:rsidRPr="00000000">
                <w:rPr>
                  <w:rFonts w:ascii="Arial" w:cs="Arial" w:eastAsia="Arial" w:hAnsi="Arial"/>
                  <w:b w:val="1"/>
                  <w:color w:val="1155cc"/>
                  <w:sz w:val="18"/>
                  <w:szCs w:val="18"/>
                  <w:u w:val="single"/>
                  <w:rtl w:val="0"/>
                </w:rPr>
                <w:t xml:space="preserve">https://www.superteacherworksheets.com/connotations.html</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CE">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C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D5">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superteacherworksheets.com/connotations.html" TargetMode="External"/><Relationship Id="rId5" Type="http://schemas.openxmlformats.org/officeDocument/2006/relationships/styles" Target="styles.xml"/><Relationship Id="rId6" Type="http://schemas.openxmlformats.org/officeDocument/2006/relationships/hyperlink" Target="https://www.lumoslearning.com/llwp/resources/free-math-english-worksheets/sample-worksheets.html?cur=15790&amp;id=922953" TargetMode="External"/><Relationship Id="rId7" Type="http://schemas.openxmlformats.org/officeDocument/2006/relationships/hyperlink" Target="https://www.easyteacherworksheets.com/langarts/readingcomp-grade6.html" TargetMode="External"/><Relationship Id="rId8" Type="http://schemas.openxmlformats.org/officeDocument/2006/relationships/hyperlink" Target="https://www.ereadingworksheets.com/free-reading-worksheets/story-structure/story-structure-workshe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