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F1" w:rsidRDefault="000F62AE">
      <w:pPr>
        <w:spacing w:after="0"/>
        <w:rPr>
          <w:rFonts w:ascii="KG Fall For You" w:eastAsia="KG Fall For You" w:hAnsi="KG Fall For You" w:cs="KG Fall For You"/>
          <w:sz w:val="24"/>
          <w:szCs w:val="24"/>
        </w:rPr>
      </w:pPr>
      <w:bookmarkStart w:id="0" w:name="_gjdgxs" w:colFirst="0" w:colLast="0"/>
      <w:bookmarkEnd w:id="0"/>
      <w:r>
        <w:rPr>
          <w:rFonts w:ascii="KG What Does the Fox Say" w:eastAsia="KG What Does the Fox Say" w:hAnsi="KG What Does the Fox Say" w:cs="KG What Does the Fox Say"/>
          <w:u w:val="single"/>
        </w:rPr>
        <w:t>NAME:</w:t>
      </w:r>
      <w:r>
        <w:rPr>
          <w:rFonts w:ascii="KG Fall For You" w:eastAsia="KG Fall For You" w:hAnsi="KG Fall For You" w:cs="KG Fall For You"/>
          <w:sz w:val="24"/>
          <w:szCs w:val="24"/>
        </w:rPr>
        <w:tab/>
        <w:t xml:space="preserve"> Lacey Folmar</w:t>
      </w:r>
      <w:r>
        <w:rPr>
          <w:rFonts w:ascii="KG Fall For You" w:eastAsia="KG Fall For You" w:hAnsi="KG Fall For You" w:cs="KG Fall For You"/>
          <w:sz w:val="24"/>
          <w:szCs w:val="24"/>
        </w:rPr>
        <w:tab/>
      </w:r>
      <w:r>
        <w:rPr>
          <w:rFonts w:ascii="KG Fall For You" w:eastAsia="KG Fall For You" w:hAnsi="KG Fall For You" w:cs="KG Fall For You"/>
          <w:sz w:val="24"/>
          <w:szCs w:val="24"/>
        </w:rPr>
        <w:tab/>
      </w:r>
      <w:r>
        <w:rPr>
          <w:rFonts w:ascii="KG Fall For You" w:eastAsia="KG Fall For You" w:hAnsi="KG Fall For You" w:cs="KG Fall For You"/>
          <w:sz w:val="24"/>
          <w:szCs w:val="24"/>
        </w:rPr>
        <w:tab/>
      </w:r>
      <w:r>
        <w:rPr>
          <w:rFonts w:ascii="KG Fall For You" w:eastAsia="KG Fall For You" w:hAnsi="KG Fall For You" w:cs="KG Fall For You"/>
          <w:sz w:val="24"/>
          <w:szCs w:val="24"/>
        </w:rPr>
        <w:tab/>
      </w:r>
      <w:r>
        <w:rPr>
          <w:rFonts w:ascii="KG What Does the Fox Say" w:eastAsia="KG What Does the Fox Say" w:hAnsi="KG What Does the Fox Say" w:cs="KG What Does the Fox Say"/>
          <w:u w:val="single"/>
        </w:rPr>
        <w:t>GRADE/SUBJECT:</w:t>
      </w:r>
      <w:r>
        <w:rPr>
          <w:rFonts w:ascii="KG Fall For You" w:eastAsia="KG Fall For You" w:hAnsi="KG Fall For You" w:cs="KG Fall For You"/>
        </w:rPr>
        <w:t xml:space="preserve">  6th/Writing Enrichment</w:t>
      </w:r>
      <w:r>
        <w:rPr>
          <w:rFonts w:ascii="KG Fall For You" w:eastAsia="KG Fall For You" w:hAnsi="KG Fall For You" w:cs="KG Fall For You"/>
          <w:sz w:val="24"/>
          <w:szCs w:val="24"/>
        </w:rPr>
        <w:t xml:space="preserve">            </w:t>
      </w:r>
      <w:r>
        <w:rPr>
          <w:rFonts w:ascii="KG Fall For You" w:eastAsia="KG Fall For You" w:hAnsi="KG Fall For You" w:cs="KG Fall For You"/>
          <w:sz w:val="24"/>
          <w:szCs w:val="24"/>
        </w:rPr>
        <w:tab/>
      </w:r>
      <w:proofErr w:type="gramStart"/>
      <w:r>
        <w:rPr>
          <w:rFonts w:ascii="KG Fall For You" w:eastAsia="KG Fall For You" w:hAnsi="KG Fall For You" w:cs="KG Fall For You"/>
          <w:sz w:val="24"/>
          <w:szCs w:val="24"/>
        </w:rPr>
        <w:tab/>
        <w:t xml:space="preserve">  </w:t>
      </w:r>
      <w:r>
        <w:rPr>
          <w:rFonts w:ascii="KG What Does the Fox Say" w:eastAsia="KG What Does the Fox Say" w:hAnsi="KG What Does the Fox Say" w:cs="KG What Does the Fox Say"/>
          <w:u w:val="single"/>
        </w:rPr>
        <w:t>WEEK</w:t>
      </w:r>
      <w:proofErr w:type="gramEnd"/>
      <w:r>
        <w:rPr>
          <w:rFonts w:ascii="KG What Does the Fox Say" w:eastAsia="KG What Does the Fox Say" w:hAnsi="KG What Does the Fox Say" w:cs="KG What Does the Fox Say"/>
          <w:u w:val="single"/>
        </w:rPr>
        <w:t xml:space="preserve"> OF:</w:t>
      </w:r>
      <w:r>
        <w:rPr>
          <w:rFonts w:ascii="KG What Does the Fox Say" w:eastAsia="KG What Does the Fox Say" w:hAnsi="KG What Does the Fox Say" w:cs="KG What Does the Fox Say"/>
        </w:rPr>
        <w:t xml:space="preserve">  September 16-20th</w:t>
      </w:r>
    </w:p>
    <w:p w:rsidR="003F78F1" w:rsidRDefault="003F78F1">
      <w:pPr>
        <w:spacing w:after="0"/>
        <w:rPr>
          <w:rFonts w:ascii="KG Fall For You" w:eastAsia="KG Fall For You" w:hAnsi="KG Fall For You" w:cs="KG Fall For You"/>
          <w:sz w:val="10"/>
          <w:szCs w:val="10"/>
        </w:rPr>
      </w:pPr>
    </w:p>
    <w:tbl>
      <w:tblPr>
        <w:tblStyle w:val="a"/>
        <w:tblW w:w="14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534"/>
        <w:gridCol w:w="2534"/>
        <w:gridCol w:w="2534"/>
        <w:gridCol w:w="2534"/>
        <w:gridCol w:w="2534"/>
      </w:tblGrid>
      <w:tr w:rsidR="003F78F1">
        <w:trPr>
          <w:trHeight w:val="356"/>
        </w:trPr>
        <w:tc>
          <w:tcPr>
            <w:tcW w:w="14405" w:type="dxa"/>
            <w:gridSpan w:val="6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UNIT QUESTION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(if applicable):  </w:t>
            </w:r>
          </w:p>
        </w:tc>
      </w:tr>
      <w:tr w:rsidR="003F78F1">
        <w:trPr>
          <w:trHeight w:val="288"/>
        </w:trPr>
        <w:tc>
          <w:tcPr>
            <w:tcW w:w="1735" w:type="dxa"/>
            <w:shd w:val="clear" w:color="auto" w:fill="D9D9D9"/>
            <w:vAlign w:val="center"/>
          </w:tcPr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2534" w:type="dxa"/>
            <w:shd w:val="clear" w:color="auto" w:fill="D9D9D9"/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MONDAY</w:t>
            </w:r>
          </w:p>
        </w:tc>
        <w:tc>
          <w:tcPr>
            <w:tcW w:w="2534" w:type="dxa"/>
            <w:shd w:val="clear" w:color="auto" w:fill="D9D9D9"/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TUESDAY</w:t>
            </w:r>
          </w:p>
        </w:tc>
        <w:tc>
          <w:tcPr>
            <w:tcW w:w="2534" w:type="dxa"/>
            <w:shd w:val="clear" w:color="auto" w:fill="D9D9D9"/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WEDNESDAY</w:t>
            </w:r>
          </w:p>
        </w:tc>
        <w:tc>
          <w:tcPr>
            <w:tcW w:w="2534" w:type="dxa"/>
            <w:shd w:val="clear" w:color="auto" w:fill="D9D9D9"/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THURSDAY</w:t>
            </w:r>
          </w:p>
        </w:tc>
        <w:tc>
          <w:tcPr>
            <w:tcW w:w="2534" w:type="dxa"/>
            <w:shd w:val="clear" w:color="auto" w:fill="D9D9D9"/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FRIDAY</w:t>
            </w:r>
          </w:p>
        </w:tc>
      </w:tr>
      <w:tr w:rsidR="003F78F1">
        <w:trPr>
          <w:trHeight w:val="638"/>
        </w:trPr>
        <w:tc>
          <w:tcPr>
            <w:tcW w:w="1735" w:type="dxa"/>
            <w:shd w:val="clear" w:color="auto" w:fill="D9D9D9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ESSENTIAL QUESTION</w:t>
            </w:r>
          </w:p>
          <w:p w:rsidR="003F78F1" w:rsidRDefault="003F78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Learning Targets</w:t>
            </w:r>
          </w:p>
          <w:p w:rsidR="003F78F1" w:rsidRDefault="003F78F1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“I can …”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can write a narrative from the perspective of an animal. I can incorporate figurative language and imagery into my narrative writing.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can write a narrative from the perspective of an animal. I can incorporate figurative language and imagery into my nar</w:t>
            </w:r>
            <w:r>
              <w:rPr>
                <w:rFonts w:ascii="Arial" w:eastAsia="Arial" w:hAnsi="Arial" w:cs="Arial"/>
              </w:rPr>
              <w:t>rative writing.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can sequence events by using evidence from texts. I can use context clues to figure out the meaning of unknown words.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can sequence events by using evidence from texts. I can use context clues to figure out the meaning of unknown words.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can use evidence from my passage to answer questions about vocabulary. I can use context clues to figure out the meanings of unknown words. </w:t>
            </w:r>
          </w:p>
        </w:tc>
      </w:tr>
      <w:tr w:rsidR="003F78F1">
        <w:trPr>
          <w:trHeight w:val="720"/>
        </w:trPr>
        <w:tc>
          <w:tcPr>
            <w:tcW w:w="1735" w:type="dxa"/>
            <w:shd w:val="clear" w:color="auto" w:fill="D9D9D9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KEY VOCABULARY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Figurative Language: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Metaphor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Personification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Simile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Alliteration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Onomatopoeia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Hyperbole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Repetition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Imagery (5 senses): 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Taste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Smell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Hearing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Feeling or Touching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Figurative Language: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Metaphor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Personification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Simile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Alliteration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Onomatopoeia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Hyperbole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Repetition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Imagery (5 senses): 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Taste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Smell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Hearing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Feeling or Touching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Sequencing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Context Clues 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Sequencing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Context Clues 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Vocabulary Test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Figurative Language: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Metaphor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Personification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Simile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Alliteration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Onomatopoeia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Hyperbole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Repetition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Imagery (5 senses): 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Taste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Smell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Hearing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Seeing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Feeling or Touching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Context Clues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Humble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Digress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Seniority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Bubbly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Fumble</w:t>
            </w:r>
          </w:p>
        </w:tc>
      </w:tr>
      <w:tr w:rsidR="003F78F1">
        <w:trPr>
          <w:trHeight w:val="530"/>
        </w:trPr>
        <w:tc>
          <w:tcPr>
            <w:tcW w:w="1735" w:type="dxa"/>
            <w:shd w:val="clear" w:color="auto" w:fill="D9D9D9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ACTIVATING STRATEGY</w:t>
            </w:r>
          </w:p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(Before)</w:t>
            </w:r>
          </w:p>
          <w:p w:rsidR="003F78F1" w:rsidRDefault="003F78F1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Bell Ringers/ Warm Up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Bellringer: ACAP Practice on Evidence, Inference, and Conclusions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Bellringer: ACAP Practice on Evidence, Inference, and Conclusions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Bellringer: ACAP Practice on Evidence, Inference, and Conclusions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Bellringer: ACAP Practice on Evidence, Inference, and Conclusions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Bellringer: ACAP Practice on Evidence, Inference, and Conclusions </w:t>
            </w:r>
          </w:p>
        </w:tc>
      </w:tr>
      <w:tr w:rsidR="003F78F1">
        <w:trPr>
          <w:trHeight w:val="1205"/>
        </w:trPr>
        <w:tc>
          <w:tcPr>
            <w:tcW w:w="1735" w:type="dxa"/>
            <w:shd w:val="clear" w:color="auto" w:fill="D9D9D9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Strategies used to Implement Lesson /Marzano Strategie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:rsidR="003F78F1" w:rsidRDefault="003F78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examples: think-pair-share on World War II, carousel brainstorm on cells, notes on decimals)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continue writing their narratives from the perspective of an animal.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type out their narrative from the perspective of their animal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must incorporate imagery (five senses) and figurative language from their charts. 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finish writing their narratives from the perspective of an animal.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peer edit each other using a rubric and make suggestions on what things could be improved.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students finish early, they can work on ACAP practice in IXL.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work on two worksheets on sequence of events. Students will read a st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ory on each worksheet and determine when the events happened and in what order. 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will then work on a worksheet in which they use context clues to determine the meaning of the words.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work on two worksheets on sequence of events. Stud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ents will read a story on each worksheet and determine when the events happened and in what order. 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then work on a worksheet in which they use context clues to determine the meaning of the words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Context Clues Worksheet will be taken for a da</w:t>
            </w: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ily grade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Vocabulary Test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all vocabulary learned throughout the nine weeks, from the story Eleven, Hatchet, and Narrative Writing. Students will be given a study guide on Monday. </w:t>
            </w:r>
          </w:p>
        </w:tc>
      </w:tr>
      <w:tr w:rsidR="003F78F1">
        <w:trPr>
          <w:trHeight w:val="392"/>
        </w:trPr>
        <w:tc>
          <w:tcPr>
            <w:tcW w:w="1735" w:type="dxa"/>
            <w:shd w:val="clear" w:color="auto" w:fill="D9D9D9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SUMMARIZING EXIT SLIP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(After)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check their writing using a rubric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will turn in their narratives for a </w:t>
            </w: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daily grade.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This is a continuation of last week due to the field trip and Parent Report Day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review over the worksheets. Students will swap papers and c</w:t>
            </w:r>
            <w:r>
              <w:rPr>
                <w:rFonts w:ascii="Arial" w:eastAsia="Arial" w:hAnsi="Arial" w:cs="Arial"/>
                <w:sz w:val="18"/>
                <w:szCs w:val="18"/>
              </w:rPr>
              <w:t>heck each other’s answers.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students finish early, they can work on ACAP practice in IXL, work 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homework,  or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study for their vocabulary test on Friday.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review over the worksheets. Students will swap papers and check each other's answers.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students finish early, they can work on ACAP practice in IXL, work on homework, or study for their vocabulary test on Friday. 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students finish early, they can work on ACAP practice in IXL. 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Homework is due for a cumulative daily grade. </w:t>
            </w:r>
          </w:p>
        </w:tc>
      </w:tr>
      <w:tr w:rsidR="003F78F1">
        <w:trPr>
          <w:trHeight w:val="557"/>
        </w:trPr>
        <w:tc>
          <w:tcPr>
            <w:tcW w:w="1735" w:type="dxa"/>
            <w:shd w:val="clear" w:color="auto" w:fill="D9D9D9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ACOS</w:t>
            </w:r>
          </w:p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STANDARDS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" w:name="_g3dc1iws4o31" w:colFirst="0" w:colLast="0"/>
            <w:bookmarkEnd w:id="1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1 Utilize active listening skills during discussion and conversation in pairs, small groups, or whole-class settings, following agreed-upon rules for participation.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" w:name="_hxzteg4al7vj" w:colFirst="0" w:colLast="0"/>
            <w:bookmarkEnd w:id="2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4 Utilize a writing process to plan, draft, revise, edit, and publish writings in various genres.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3" w:name="_i4v2xooqyqf8" w:colFirst="0" w:colLast="0"/>
            <w:bookmarkEnd w:id="3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ELA21.6.4 Describe the use of literary devices in prose and poetry, including simile, metaphor, personification, onomatopoeia, hyperbole, tone, image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ry, irony, symbolism, and mood, and indicate how they support interpretations of the text.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4" w:name="_peebd2ccghm9" w:colFirst="0" w:colLast="0"/>
            <w:bookmarkEnd w:id="4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 xml:space="preserve">ELA 21.6.7 Produce clear, coherent narrative, argument, and informative/explanatory 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lastRenderedPageBreak/>
              <w:t>writing in which the development, organization, style, and tone are relevant to t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ask, purpose, and audience, using an appropriate command of language.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5" w:name="_fm3lem3aoh8z" w:colFirst="0" w:colLast="0"/>
            <w:bookmarkEnd w:id="5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ELA21.6.7a Write narratives incorporating key literary elements, including characters, plot, setting, point of view, resolution of a conflict, dialogue, and sensory details.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6" w:name="_1sobfu1xgxh8" w:colFirst="0" w:colLast="0"/>
            <w:bookmarkEnd w:id="6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ELA21.6.9 Pa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rticipate in collaborative discussions about literary devices and elements found in prose and poetry.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_8s35xbiv8au6" w:colFirst="0" w:colLast="0"/>
            <w:bookmarkEnd w:id="7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ELA21.6.19 Demonstrate command of standard English grammar, usage, and mechanics when writing.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8" w:name="_iz0t7d34kani" w:colFirst="0" w:colLast="0"/>
            <w:bookmarkEnd w:id="8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lastRenderedPageBreak/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1 Utilize active listening skills during discussio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n and conversation in pairs, small groups, or whole-class settings, following agreed-upon rules for participation.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9" w:name="_gmqb4oq270zy" w:colFirst="0" w:colLast="0"/>
            <w:bookmarkEnd w:id="9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4 Utilize a writing process to plan, draft, revise, edit, and publish writings in various genres.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0" w:name="_ntnl1yaatdfy" w:colFirst="0" w:colLast="0"/>
            <w:bookmarkEnd w:id="10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ELA21.6.4 Describe the use of lite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rary devices in prose and poetry, including simile, metaphor, personification, onomatopoeia, hyperbole, tone, imagery, irony, symbolism, and mood, and indicate how they support interpretations of the text.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1" w:name="_afgmfv8drnzf" w:colFirst="0" w:colLast="0"/>
            <w:bookmarkEnd w:id="11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 21.6.7 Produce clear, coherent narrative, argu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 xml:space="preserve">ment, and informative/explanatory 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lastRenderedPageBreak/>
              <w:t>writing in which the development, organization, style, and tone are relevant to task, purpose, and audience, using an appropriate command of language.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2" w:name="_nj2b5bjl1q8g" w:colFirst="0" w:colLast="0"/>
            <w:bookmarkEnd w:id="12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ELA21.6.7a Write narratives incorporating key literary elements, includ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ing characters, plot, setting, point of view, resolution of a conflict, dialogue, and sensory details.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3" w:name="_tzmgulb5oqvn" w:colFirst="0" w:colLast="0"/>
            <w:bookmarkEnd w:id="13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ELA21.6.9 Participate in collaborative discussions about literary devices and elements found in prose and poetry.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sz w:val="18"/>
                <w:szCs w:val="18"/>
              </w:rPr>
            </w:pPr>
            <w:bookmarkStart w:id="14" w:name="_uy165iyikm01" w:colFirst="0" w:colLast="0"/>
            <w:bookmarkEnd w:id="14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ELA21.6.19 Demonstrate command of standard English grammar, usage, and mechanics when writing.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5" w:name="_b53its3j794s" w:colFirst="0" w:colLast="0"/>
            <w:bookmarkEnd w:id="15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lastRenderedPageBreak/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1 Utilize active listening skills during discussion and conversation in pairs, small groups, or whole-class settings, following agreed-upon rules for pa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rticipation.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6" w:name="_uk9n63ymsfir" w:colFirst="0" w:colLast="0"/>
            <w:bookmarkEnd w:id="16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2 Use context clues to determine meanings of unfamiliar spoken or written words.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27"/>
                <w:szCs w:val="27"/>
              </w:rPr>
            </w:pPr>
            <w:bookmarkStart w:id="17" w:name="_dzikxi1qmhwv" w:colFirst="0" w:colLast="0"/>
            <w:bookmarkEnd w:id="17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ELA21.6.2 Make inferences and draw logical conclusions from the content and structures of informational texts, including comparison and contrast, problem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 xml:space="preserve"> and solution, claims and evidence, cause and effect, description, and sequencing</w:t>
            </w:r>
            <w:r>
              <w:rPr>
                <w:rFonts w:ascii="Arial" w:eastAsia="Arial" w:hAnsi="Arial" w:cs="Arial"/>
                <w:b w:val="0"/>
                <w:color w:val="363636"/>
                <w:sz w:val="27"/>
                <w:szCs w:val="27"/>
              </w:rPr>
              <w:t>.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8" w:name="_zhcj15lqkwsh" w:colFirst="0" w:colLast="0"/>
            <w:bookmarkEnd w:id="18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1 Utilize active listening skills during discussion and conversation in pairs, small groups, or whole-class settings, following agreed-upon rules for participation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19" w:name="_ozyqcn5vkhkf" w:colFirst="0" w:colLast="0"/>
            <w:bookmarkEnd w:id="19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2 Use context clues to determine meanings of unfamiliar spoken or written words.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sz w:val="18"/>
                <w:szCs w:val="18"/>
              </w:rPr>
            </w:pPr>
            <w:bookmarkStart w:id="20" w:name="_o7rmyje58nd" w:colFirst="0" w:colLast="0"/>
            <w:bookmarkEnd w:id="20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ELA21.6.2 Make inferences and draw logical conclusions from the content and structures of informational texts, including comparison and contrast, problem and soluti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on, claims and evidence, cause and effect, description, and sequencing</w:t>
            </w:r>
            <w:r>
              <w:rPr>
                <w:rFonts w:ascii="Arial" w:eastAsia="Arial" w:hAnsi="Arial" w:cs="Arial"/>
                <w:b w:val="0"/>
                <w:color w:val="363636"/>
                <w:sz w:val="27"/>
                <w:szCs w:val="27"/>
              </w:rPr>
              <w:t>.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1" w:name="_ui2ahosqka82" w:colFirst="0" w:colLast="0"/>
            <w:bookmarkEnd w:id="21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1 Utilize active listening skills during discussion and conversation in pairs, small groups, or whole-class settings, following agreed-upon rules for participation.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2" w:name="_8asqanth69fv" w:colFirst="0" w:colLast="0"/>
            <w:bookmarkEnd w:id="22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 xml:space="preserve"> Use context clues to determine meanings of unfamiliar spoken or written words.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3" w:name="_6t6klqoosstw" w:colFirst="0" w:colLast="0"/>
            <w:bookmarkEnd w:id="23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ELA21.6.4 Describe the use of literary devices in prose and poetry, including simile, metaphor, personification, onomatopoeia, hyperbole, tone, imagery, irony, symbolism, and m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ood, and indicate how they support interpretations of the text.</w:t>
            </w:r>
          </w:p>
          <w:p w:rsidR="003F78F1" w:rsidRDefault="003F78F1">
            <w:pPr>
              <w:spacing w:after="0" w:line="240" w:lineRule="auto"/>
            </w:pPr>
          </w:p>
        </w:tc>
      </w:tr>
      <w:tr w:rsidR="003F78F1">
        <w:trPr>
          <w:trHeight w:val="557"/>
        </w:trPr>
        <w:tc>
          <w:tcPr>
            <w:tcW w:w="1735" w:type="dxa"/>
            <w:shd w:val="clear" w:color="auto" w:fill="D9D9D9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MATERIALS USED</w:t>
            </w:r>
          </w:p>
        </w:tc>
        <w:tc>
          <w:tcPr>
            <w:tcW w:w="2534" w:type="dxa"/>
            <w:tcMar>
              <w:top w:w="72" w:type="dxa"/>
              <w:left w:w="101" w:type="dxa"/>
              <w:bottom w:w="72" w:type="dxa"/>
              <w:right w:w="101" w:type="dxa"/>
            </w:tcMar>
            <w:vAlign w:val="center"/>
          </w:tcPr>
          <w:p w:rsidR="003F78F1" w:rsidRDefault="000F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pencils, composition notebooks, and chromebooks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pencils, composition notebooks, and chromebooks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pencils, composition notebooks, and chromebooks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pencils, composition notebooks, and chromebooks</w:t>
            </w:r>
          </w:p>
        </w:tc>
        <w:tc>
          <w:tcPr>
            <w:tcW w:w="2534" w:type="dxa"/>
            <w:vAlign w:val="center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pencils, composition notebooks, and chromebooks</w:t>
            </w:r>
          </w:p>
        </w:tc>
      </w:tr>
      <w:tr w:rsidR="003F78F1">
        <w:trPr>
          <w:trHeight w:val="392"/>
        </w:trPr>
        <w:tc>
          <w:tcPr>
            <w:tcW w:w="14405" w:type="dxa"/>
            <w:gridSpan w:val="6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Literacy Standards Used (See the MOC for a list of content appropriate standards):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4" w:name="_9vms8isey0yh" w:colFirst="0" w:colLast="0"/>
            <w:bookmarkEnd w:id="24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1 Utilize active listening skills during discussion and conversation in pairs, small groups, or whole-class settings, following agreed-upon rules for participation.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5" w:name="_lt8206hv46ra" w:colFirst="0" w:colLast="0"/>
            <w:bookmarkEnd w:id="25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2 Use context clues to determine meanings of unfamiliar spoken or written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 xml:space="preserve"> words.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6" w:name="_wjrp3ktmosgk" w:colFirst="0" w:colLast="0"/>
            <w:bookmarkEnd w:id="26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</w:t>
            </w:r>
            <w:proofErr w:type="gramStart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6.R</w:t>
            </w:r>
            <w:proofErr w:type="gramEnd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4 Utilize a writing process to plan, draft, revise, edit, and publish writings in various genres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40" w:lineRule="auto"/>
              <w:outlineLvl w:val="3"/>
            </w:pPr>
            <w:bookmarkStart w:id="27" w:name="_gx5r2wfv9mmn" w:colFirst="0" w:colLast="0"/>
            <w:bookmarkEnd w:id="27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ELA21.6.2 Make inferences and draw logical conclusions from the content and structures of informational texts, including comparison and contra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st, problem and solution, claims and evidence, cause and effect, description, and sequencing</w:t>
            </w:r>
            <w:r>
              <w:rPr>
                <w:rFonts w:ascii="Arial" w:eastAsia="Arial" w:hAnsi="Arial" w:cs="Arial"/>
                <w:b w:val="0"/>
                <w:color w:val="363636"/>
                <w:sz w:val="27"/>
                <w:szCs w:val="27"/>
              </w:rPr>
              <w:t>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8" w:name="_298ejz9okw8l" w:colFirst="0" w:colLast="0"/>
            <w:bookmarkEnd w:id="28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ELA21.6.4 Describe the use of literary devices in prose and poetry, including simile, metaphor, personification, onomatopoeia, hyperbole, tone, imagery, irony, sy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mbolism, and mood, and indicate how they support interpretations of the text.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29" w:name="_5lztjhxsxce1" w:colFirst="0" w:colLast="0"/>
            <w:bookmarkEnd w:id="29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 21.6.7 Produce clear, coherent narrative, argument, and informative/explanatory writing in which the development, organization, style, and tone are relevant to task, purpose,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 xml:space="preserve"> and audience, using an appropriate command of language.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30" w:name="_4adsdxbyiw2m" w:colFirst="0" w:colLast="0"/>
            <w:bookmarkEnd w:id="30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ELA21.6.7a Write narratives incorporating key literary elements, including characters, plot, setting, point of view, resolution of a conflict, dialogue, and sensory details.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</w:pPr>
            <w:bookmarkStart w:id="31" w:name="_9hev5ogaetqa" w:colFirst="0" w:colLast="0"/>
            <w:bookmarkEnd w:id="31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 xml:space="preserve">ELA21.6.9 Participate in </w:t>
            </w:r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collaborative discussions about literary devices and elements found in prose and poetry.</w:t>
            </w:r>
          </w:p>
          <w:p w:rsidR="003F78F1" w:rsidRDefault="000F62AE">
            <w:pPr>
              <w:pStyle w:val="Heading4"/>
              <w:keepNext w:val="0"/>
              <w:keepLines w:val="0"/>
              <w:shd w:val="clear" w:color="auto" w:fill="FFFFFF"/>
              <w:spacing w:before="0" w:after="0" w:line="270" w:lineRule="auto"/>
              <w:outlineLvl w:val="3"/>
              <w:rPr>
                <w:rFonts w:ascii="Arial" w:eastAsia="Arial" w:hAnsi="Arial" w:cs="Arial"/>
                <w:sz w:val="18"/>
                <w:szCs w:val="18"/>
              </w:rPr>
            </w:pPr>
            <w:bookmarkStart w:id="32" w:name="_m0wkv3ooqt6l" w:colFirst="0" w:colLast="0"/>
            <w:bookmarkEnd w:id="32"/>
            <w:r>
              <w:rPr>
                <w:rFonts w:ascii="Arial" w:eastAsia="Arial" w:hAnsi="Arial" w:cs="Arial"/>
                <w:b w:val="0"/>
                <w:color w:val="363636"/>
                <w:sz w:val="18"/>
                <w:szCs w:val="18"/>
              </w:rPr>
              <w:t>ELA21.6.19 Demonstrate command of standard English grammar, usage, and mechanics when writing.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78F1">
        <w:trPr>
          <w:trHeight w:val="296"/>
        </w:trPr>
        <w:tc>
          <w:tcPr>
            <w:tcW w:w="6803" w:type="dxa"/>
            <w:gridSpan w:val="3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Technology Used: Smartboard and Chromebooks</w:t>
            </w:r>
          </w:p>
          <w:p w:rsidR="003F78F1" w:rsidRDefault="003F78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02" w:type="dxa"/>
            <w:gridSpan w:val="3"/>
          </w:tcPr>
          <w:p w:rsidR="003F78F1" w:rsidRDefault="000F6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Supplementary Materials Used: </w:t>
            </w:r>
          </w:p>
          <w:p w:rsidR="003F78F1" w:rsidRDefault="000F6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In Class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Teacher Pay Teachers Hatchet Novel Study: vocabulary, comprehension quizzes,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writing, activities by Gay Miller Hatchet (TUESDAY) </w:t>
            </w:r>
            <w:hyperlink r:id="rId4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https://www.teacherspayteachers.com/Product/Hatchet-Novel-Study-vocabulary-comprehension-quizzes-writing-activities</w:t>
              </w:r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-3431795</w:t>
              </w:r>
            </w:hyperlink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Pages 217-234</w:t>
            </w:r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There’s an alien in my locker Worksheet by Easy Teacher Worksheets (Wednesday)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5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https://www.easyteacherworksheets.com/pages/pdf/languagea</w:t>
              </w:r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rts/sequence/6.html</w:t>
              </w:r>
            </w:hyperlink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0F62AE">
            <w:pPr>
              <w:pStyle w:val="Heading1"/>
              <w:keepNext w:val="0"/>
              <w:keepLines w:val="0"/>
              <w:widowControl w:val="0"/>
              <w:shd w:val="clear" w:color="auto" w:fill="F5F8F8"/>
              <w:spacing w:before="0" w:after="0" w:line="300" w:lineRule="auto"/>
              <w:outlineLvl w:val="0"/>
              <w:rPr>
                <w:rFonts w:ascii="Arial" w:eastAsia="Arial" w:hAnsi="Arial" w:cs="Arial"/>
                <w:color w:val="344048"/>
                <w:sz w:val="18"/>
                <w:szCs w:val="18"/>
              </w:rPr>
            </w:pPr>
            <w:bookmarkStart w:id="33" w:name="_moowfuy14omq" w:colFirst="0" w:colLast="0"/>
            <w:bookmarkEnd w:id="33"/>
            <w:r>
              <w:rPr>
                <w:rFonts w:ascii="Arial" w:eastAsia="Arial" w:hAnsi="Arial" w:cs="Arial"/>
                <w:color w:val="344048"/>
                <w:sz w:val="18"/>
                <w:szCs w:val="18"/>
              </w:rPr>
              <w:t>Condoleezza Rice, Politician and Educator Passage from Readworks (Wednesday)</w:t>
            </w:r>
          </w:p>
          <w:p w:rsidR="003F78F1" w:rsidRDefault="000F62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Google Classroom Assignment</w:t>
            </w:r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Context Clues Worksheet 1.3 by EReading Worksheets (Wednesday)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6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https://www.ereadingworksheets.com/worksheets/reading/context-clues/context-clues-worksheet-1-3/</w:t>
              </w:r>
            </w:hyperlink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The Rough Start Sequencing Worksheet by Easy Teacher Worksheets (Thursday)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7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https://www.easyteacherworksheets.com/pages/pdf/languagearts/sequence/10.html</w:t>
              </w:r>
            </w:hyperlink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Snake, Rattle, and Roll Passage from Readworks (Thursday)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Google Classroom Assignm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ent </w:t>
            </w:r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Context Clues Worksheet 1.4 by EReading Worksheets (Thursday)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8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https://www.ereadingworksheets.com/reading-worksheets/context-clues/c</w:t>
              </w:r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ontext-clues-worksheet-1-4.pdf</w:t>
              </w:r>
            </w:hyperlink>
          </w:p>
          <w:p w:rsidR="000F62AE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F62AE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ACAP Bellringer Questions taken from Alabama ACAP Success by the American Book Company</w:t>
            </w:r>
            <w:bookmarkStart w:id="34" w:name="_GoBack"/>
            <w:bookmarkEnd w:id="34"/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Homework: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Context Clues Worksheet 1.5 by EReading Worksheets (Due Friday)</w:t>
            </w:r>
          </w:p>
          <w:p w:rsidR="003F78F1" w:rsidRDefault="000F62AE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9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https://www.ereadingworksheets</w:t>
              </w:r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.com/reading-worksheets/context-clues/context-clues-worksheet-1-5.pdf</w:t>
              </w:r>
            </w:hyperlink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F78F1" w:rsidRDefault="003F78F1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78F1">
        <w:trPr>
          <w:trHeight w:val="296"/>
        </w:trPr>
        <w:tc>
          <w:tcPr>
            <w:tcW w:w="14405" w:type="dxa"/>
            <w:gridSpan w:val="6"/>
          </w:tcPr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ACCOMMODATIONS: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4D5156"/>
                <w:sz w:val="21"/>
                <w:szCs w:val="21"/>
                <w:highlight w:val="white"/>
              </w:rPr>
              <w:t>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Retake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Tests,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Preferential Seating, </w:t>
            </w:r>
            <w:r>
              <w:rPr>
                <w:rFonts w:ascii="Arial Unicode MS" w:eastAsia="Arial Unicode MS" w:hAnsi="Arial Unicode MS" w:cs="Arial Unicode MS"/>
                <w:color w:val="4D5156"/>
                <w:sz w:val="21"/>
                <w:szCs w:val="21"/>
                <w:highlight w:val="white"/>
              </w:rPr>
              <w:t>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Shorter Assignments, </w:t>
            </w:r>
            <w:r>
              <w:rPr>
                <w:rFonts w:ascii="Arial Unicode MS" w:eastAsia="Arial Unicode MS" w:hAnsi="Arial Unicode MS" w:cs="Arial Unicode MS"/>
                <w:color w:val="4D5156"/>
                <w:sz w:val="21"/>
                <w:szCs w:val="21"/>
                <w:highlight w:val="white"/>
              </w:rPr>
              <w:t>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Additional Time, </w:t>
            </w:r>
            <w:r>
              <w:rPr>
                <w:rFonts w:ascii="Arial Unicode MS" w:eastAsia="Arial Unicode MS" w:hAnsi="Arial Unicode MS" w:cs="Arial Unicode MS"/>
                <w:color w:val="4D5156"/>
                <w:sz w:val="21"/>
                <w:szCs w:val="21"/>
                <w:highlight w:val="white"/>
              </w:rPr>
              <w:t>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EL Strategies, </w:t>
            </w:r>
            <w:r>
              <w:rPr>
                <w:rFonts w:ascii="Arial Unicode MS" w:eastAsia="Arial Unicode MS" w:hAnsi="Arial Unicode MS" w:cs="Arial Unicode MS"/>
                <w:color w:val="4D5156"/>
                <w:sz w:val="21"/>
                <w:szCs w:val="21"/>
                <w:highlight w:val="white"/>
              </w:rPr>
              <w:t>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Language Modifications,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78F1" w:rsidRDefault="003F78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F78F1" w:rsidRDefault="000F62A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Compacting the Subject (gifted), </w:t>
            </w:r>
            <w:r>
              <w:rPr>
                <w:rFonts w:ascii="Arial Unicode MS" w:eastAsia="Arial Unicode MS" w:hAnsi="Arial Unicode MS" w:cs="Arial Unicode MS"/>
                <w:color w:val="4D5156"/>
                <w:sz w:val="21"/>
                <w:szCs w:val="21"/>
                <w:highlight w:val="white"/>
              </w:rPr>
              <w:t>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Less Repetition (gifted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),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Alternative Assessment,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Other: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  <w:u w:val="single"/>
              </w:rPr>
              <w:t xml:space="preserve"> X</w:t>
            </w:r>
          </w:p>
        </w:tc>
      </w:tr>
    </w:tbl>
    <w:p w:rsidR="003F78F1" w:rsidRDefault="003F78F1">
      <w:pPr>
        <w:rPr>
          <w:rFonts w:ascii="Arial" w:eastAsia="Arial" w:hAnsi="Arial" w:cs="Arial"/>
          <w:u w:val="single"/>
        </w:rPr>
      </w:pPr>
    </w:p>
    <w:sectPr w:rsidR="003F78F1">
      <w:pgSz w:w="15840" w:h="12240" w:orient="landscape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G Fall For You">
    <w:altName w:val="Calibri"/>
    <w:charset w:val="00"/>
    <w:family w:val="auto"/>
    <w:pitch w:val="default"/>
  </w:font>
  <w:font w:name="KG What Does the Fox Sa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F1"/>
    <w:rsid w:val="000F62AE"/>
    <w:rsid w:val="003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FFE8"/>
  <w15:docId w15:val="{AF7EFEF8-98F7-425D-AAA3-51FAC199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eadingworksheets.com/reading-worksheets/context-clues/context-clues-worksheet-1-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asyteacherworksheets.com/pages/pdf/languagearts/sequence/10.html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eadingworksheets.com/worksheets/reading/context-clues/context-clues-worksheet-1-3/" TargetMode="External"/><Relationship Id="rId5" Type="http://schemas.openxmlformats.org/officeDocument/2006/relationships/hyperlink" Target="https://www.easyteacherworksheets.com/pages/pdf/languagearts/sequence/6.html" TargetMode="External"/><Relationship Id="rId4" Type="http://schemas.openxmlformats.org/officeDocument/2006/relationships/hyperlink" Target="https://www.teacherspayteachers.com/Product/Hatchet-Novel-Study-vocabulary-comprehension-quizzes-writing-activities-3431795" TargetMode="External"/><Relationship Id="rId9" Type="http://schemas.openxmlformats.org/officeDocument/2006/relationships/hyperlink" Target="https://www.ereadingworksheets.com/reading-worksheets/context-clues/context-clues-worksheet-1-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lacey folmar</cp:lastModifiedBy>
  <cp:revision>2</cp:revision>
  <dcterms:created xsi:type="dcterms:W3CDTF">2024-09-12T19:52:00Z</dcterms:created>
  <dcterms:modified xsi:type="dcterms:W3CDTF">2024-09-12T19:52:00Z</dcterms:modified>
</cp:coreProperties>
</file>