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Parent Advisory Committee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March 30</w:t>
      </w:r>
      <w:r w:rsidDel="00000000" w:rsidR="00000000" w:rsidRPr="00000000">
        <w:rPr>
          <w:rtl w:val="0"/>
        </w:rPr>
        <w:t xml:space="preserve">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Harvest High, 4:00 pm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​​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LCAP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LCAP Summary-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LCAP goals and actions 22.23.pdf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LCAP document-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https://content.myconnectsuite.com/api/documents/f6afc74e71b3403c985819e1a5409a46.pdf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Reflections P. 9/10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Comprehensive support and Improvement (CSI) P.10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 input from educational partners P.12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Analysis P. 20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Benchmarks and IABs P. 23/24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Analysis P. 30/31, 35/36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Draft due to county  4/21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public hearing  6/21 &amp; Approval meeting 6/26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LCAP Input</w:t>
      </w:r>
    </w:p>
    <w:p w:rsidR="00000000" w:rsidDel="00000000" w:rsidP="00000000" w:rsidRDefault="00000000" w:rsidRPr="00000000" w14:paraId="00000013">
      <w:pPr>
        <w:spacing w:line="276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Programs and Other Topics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Transitional Kindergarten/Kindergarten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Ripona Language Academy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Music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 position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Missoula Children’s Theater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School update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Round Table</w:t>
      </w:r>
    </w:p>
    <w:p w:rsidR="00000000" w:rsidDel="00000000" w:rsidP="00000000" w:rsidRDefault="00000000" w:rsidRPr="00000000" w14:paraId="0000001C">
      <w:pPr>
        <w:spacing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PAC: May 4, Harvest High  4:00 p.m.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DELAC: May 12, 2023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R3RKL50QUvA262VooUDTqdG44wEhxtfa/view?usp=share_link" TargetMode="External"/><Relationship Id="rId7" Type="http://schemas.openxmlformats.org/officeDocument/2006/relationships/hyperlink" Target="https://content.myconnectsuite.com/api/documents/f6afc74e71b3403c985819e1a5409a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