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Carroll County Pheasants Forever (CCPF) College Scholarship Application </w:t>
      </w:r>
    </w:p>
    <w:p w14:paraId="00000002" w14:textId="65970ED3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 w:line="241" w:lineRule="auto"/>
        <w:ind w:left="1" w:right="17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Carroll County Illinois Chapter of Pheasants Forever is accepting applications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 xml:space="preserve">for  </w:t>
      </w:r>
      <w:r w:rsidR="001A0532">
        <w:rPr>
          <w:rFonts w:ascii="Tahoma" w:eastAsia="Tahoma" w:hAnsi="Tahoma" w:cs="Tahoma"/>
          <w:color w:val="000000"/>
          <w:sz w:val="24"/>
          <w:szCs w:val="24"/>
        </w:rPr>
        <w:t>four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$600 college scholarships. The scholarship is awarded to a graduating senior of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a  Carroll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County high school who will be enrolled in college in the </w:t>
      </w:r>
      <w:r w:rsidR="001A0532">
        <w:rPr>
          <w:rFonts w:ascii="Tahoma" w:eastAsia="Tahoma" w:hAnsi="Tahoma" w:cs="Tahoma"/>
          <w:color w:val="000000"/>
          <w:sz w:val="24"/>
          <w:szCs w:val="24"/>
        </w:rPr>
        <w:t>202</w:t>
      </w:r>
      <w:r w:rsidR="00977C93">
        <w:rPr>
          <w:rFonts w:ascii="Tahoma" w:eastAsia="Tahoma" w:hAnsi="Tahoma" w:cs="Tahoma"/>
          <w:color w:val="000000"/>
          <w:sz w:val="24"/>
          <w:szCs w:val="24"/>
        </w:rPr>
        <w:t>6</w:t>
      </w:r>
      <w:r w:rsidR="001A0532">
        <w:rPr>
          <w:rFonts w:ascii="Tahoma" w:eastAsia="Tahoma" w:hAnsi="Tahoma" w:cs="Tahoma"/>
          <w:color w:val="000000"/>
          <w:sz w:val="24"/>
          <w:szCs w:val="24"/>
        </w:rPr>
        <w:t>-</w:t>
      </w:r>
      <w:r>
        <w:rPr>
          <w:rFonts w:ascii="Tahoma" w:eastAsia="Tahoma" w:hAnsi="Tahoma" w:cs="Tahoma"/>
          <w:color w:val="000000"/>
          <w:sz w:val="24"/>
          <w:szCs w:val="24"/>
        </w:rPr>
        <w:t>202</w:t>
      </w:r>
      <w:r w:rsidR="00977C93">
        <w:rPr>
          <w:rFonts w:ascii="Tahoma" w:eastAsia="Tahoma" w:hAnsi="Tahoma" w:cs="Tahoma"/>
          <w:sz w:val="24"/>
          <w:szCs w:val="24"/>
        </w:rPr>
        <w:t>7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academic  year. Children of long-standing members and Long Spur shooters residing outside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of  the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county are also eligible to apply. The scholarship can be for additional years if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the  student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meets the academic standards set by the chapter. </w:t>
      </w:r>
    </w:p>
    <w:p w14:paraId="00000003" w14:textId="64198E6E" w:rsidR="008E3991" w:rsidRDefault="00956991" w:rsidP="00DC26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1" w:lineRule="auto"/>
        <w:ind w:left="17" w:hanging="16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Applications </w:t>
      </w:r>
      <w:r w:rsidRPr="001A0532">
        <w:rPr>
          <w:rFonts w:ascii="Tahoma" w:eastAsia="Tahoma" w:hAnsi="Tahoma" w:cs="Tahoma"/>
          <w:b/>
          <w:bCs/>
          <w:color w:val="000000"/>
          <w:sz w:val="24"/>
          <w:szCs w:val="24"/>
        </w:rPr>
        <w:t xml:space="preserve">must be </w:t>
      </w:r>
      <w:r w:rsidRPr="001A0532">
        <w:rPr>
          <w:rFonts w:ascii="Tahoma" w:eastAsia="Tahoma" w:hAnsi="Tahoma" w:cs="Tahoma"/>
          <w:b/>
          <w:bCs/>
          <w:color w:val="000000"/>
          <w:sz w:val="24"/>
          <w:szCs w:val="24"/>
          <w:u w:val="single"/>
        </w:rPr>
        <w:t>emailed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by February 1, 202</w:t>
      </w:r>
      <w:r w:rsidR="00977C93">
        <w:rPr>
          <w:rFonts w:ascii="Tahoma" w:eastAsia="Tahoma" w:hAnsi="Tahoma" w:cs="Tahoma"/>
          <w:color w:val="000000"/>
          <w:sz w:val="24"/>
          <w:szCs w:val="24"/>
        </w:rPr>
        <w:t>6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and returned to chapter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Youth  Director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Dan</w:t>
      </w:r>
      <w:r w:rsidR="00DC2656">
        <w:rPr>
          <w:rFonts w:ascii="Tahoma" w:eastAsia="Tahoma" w:hAnsi="Tahoma" w:cs="Tahoma"/>
          <w:color w:val="000000"/>
          <w:sz w:val="24"/>
          <w:szCs w:val="24"/>
        </w:rPr>
        <w:t>iel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Hartman. Please </w:t>
      </w:r>
      <w:r w:rsidR="00DC2656">
        <w:rPr>
          <w:rFonts w:ascii="Tahoma" w:eastAsia="Tahoma" w:hAnsi="Tahoma" w:cs="Tahoma"/>
          <w:color w:val="000000"/>
          <w:sz w:val="24"/>
          <w:szCs w:val="24"/>
        </w:rPr>
        <w:t>attach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additional materials and include in email. This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will  make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it easier to contact in future years. </w:t>
      </w:r>
      <w:r w:rsidR="002F7AAE">
        <w:rPr>
          <w:rFonts w:ascii="Tahoma" w:eastAsia="Tahoma" w:hAnsi="Tahoma" w:cs="Tahoma"/>
          <w:color w:val="000000"/>
          <w:sz w:val="24"/>
          <w:szCs w:val="24"/>
        </w:rPr>
        <w:t xml:space="preserve">Please send any questions and your </w:t>
      </w:r>
      <w:r w:rsidR="00DC2656">
        <w:rPr>
          <w:rFonts w:ascii="Tahoma" w:eastAsia="Tahoma" w:hAnsi="Tahoma" w:cs="Tahoma"/>
          <w:color w:val="000000"/>
          <w:sz w:val="24"/>
          <w:szCs w:val="24"/>
        </w:rPr>
        <w:t xml:space="preserve">applications to: </w:t>
      </w:r>
      <w:r w:rsidR="00DC2656" w:rsidRPr="001A0532">
        <w:rPr>
          <w:rFonts w:ascii="Tahoma" w:eastAsia="Tahoma" w:hAnsi="Tahoma" w:cs="Tahoma"/>
          <w:color w:val="000000"/>
          <w:sz w:val="24"/>
          <w:szCs w:val="24"/>
          <w:highlight w:val="yellow"/>
        </w:rPr>
        <w:t>daniel.hartman</w:t>
      </w:r>
      <w:r w:rsidR="002F7AAE" w:rsidRPr="001A0532">
        <w:rPr>
          <w:rFonts w:ascii="Tahoma" w:eastAsia="Tahoma" w:hAnsi="Tahoma" w:cs="Tahoma"/>
          <w:color w:val="000000"/>
          <w:sz w:val="24"/>
          <w:szCs w:val="24"/>
          <w:highlight w:val="yellow"/>
        </w:rPr>
        <w:t>pf</w:t>
      </w:r>
      <w:r w:rsidR="00DC2656" w:rsidRPr="001A0532">
        <w:rPr>
          <w:rFonts w:ascii="Tahoma" w:eastAsia="Tahoma" w:hAnsi="Tahoma" w:cs="Tahoma"/>
          <w:color w:val="000000"/>
          <w:sz w:val="24"/>
          <w:szCs w:val="24"/>
          <w:highlight w:val="yellow"/>
        </w:rPr>
        <w:t>@gmail.com</w:t>
      </w:r>
    </w:p>
    <w:p w14:paraId="00000004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10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Scholarship Criteria </w:t>
      </w:r>
    </w:p>
    <w:p w14:paraId="00000005" w14:textId="0748DFB1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right="821"/>
        <w:jc w:val="righ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>The scholarship is available for any accredited college</w:t>
      </w:r>
      <w:r w:rsidR="001A0532"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university</w:t>
      </w:r>
      <w:r w:rsidR="001A0532">
        <w:rPr>
          <w:rFonts w:ascii="Tahoma" w:eastAsia="Tahoma" w:hAnsi="Tahoma" w:cs="Tahoma"/>
          <w:color w:val="000000"/>
          <w:sz w:val="24"/>
          <w:szCs w:val="24"/>
        </w:rPr>
        <w:t xml:space="preserve"> or trade school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</w:p>
    <w:p w14:paraId="00000006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right="1016"/>
        <w:jc w:val="righ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Preference will be given to students pursuing a degree in natural  </w:t>
      </w:r>
    </w:p>
    <w:p w14:paraId="00000007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737"/>
        <w:jc w:val="righ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resources, wildlife management, veterinary science, and agriculture. </w:t>
      </w:r>
    </w:p>
    <w:p w14:paraId="00000008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1" w:lineRule="auto"/>
        <w:ind w:left="1444" w:right="116" w:hanging="34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The applicant must support the preservation of and actively participate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in  the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hunting sports. </w:t>
      </w:r>
    </w:p>
    <w:p w14:paraId="00000009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1" w:lineRule="auto"/>
        <w:ind w:left="1448" w:right="287" w:hanging="354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Selection is based on student leadership, scholarship, activities,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and  community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involvement. Particular attention will be paid to activities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in  conservation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and the habitat work of the chapter. Awards will be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made  on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the content of the application form, a written autobiography, and  essay. </w:t>
      </w:r>
    </w:p>
    <w:p w14:paraId="0000000A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10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Selection Process </w:t>
      </w:r>
    </w:p>
    <w:p w14:paraId="0000000B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448" w:right="172" w:hanging="354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Applications will be judged by an independent panel of three (3)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Carroll  County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citizens. CCPF will notify the winners. Presentation will be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made  at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the CCPF annual </w:t>
      </w:r>
      <w:r>
        <w:rPr>
          <w:rFonts w:ascii="Tahoma" w:eastAsia="Tahoma" w:hAnsi="Tahoma" w:cs="Tahoma"/>
          <w:sz w:val="24"/>
          <w:szCs w:val="24"/>
        </w:rPr>
        <w:t>fundraising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banquet in March. </w:t>
      </w:r>
    </w:p>
    <w:p w14:paraId="0000000C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9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Disbursement of Funds </w:t>
      </w:r>
    </w:p>
    <w:p w14:paraId="0000000D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1" w:lineRule="auto"/>
        <w:ind w:left="1448" w:right="205" w:hanging="354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Winners may use their scholarship at any accredited institution of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higher  learning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. CCPF will work with the student and college financial officer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in  determining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when the check is issued. </w:t>
      </w:r>
    </w:p>
    <w:p w14:paraId="0000000E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9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Continuing Scholarship Standards </w:t>
      </w:r>
    </w:p>
    <w:p w14:paraId="0000000F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1" w:lineRule="auto"/>
        <w:ind w:left="1444" w:right="283" w:hanging="34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Carroll County Pheasants Forever continues to reward our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scholarship  throughout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the student’s 4-year undergraduate term. The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 xml:space="preserve">chapter  </w:t>
      </w:r>
      <w:r>
        <w:rPr>
          <w:rFonts w:ascii="Tahoma" w:eastAsia="Tahoma" w:hAnsi="Tahoma" w:cs="Tahoma"/>
          <w:color w:val="000000"/>
          <w:sz w:val="24"/>
          <w:szCs w:val="24"/>
        </w:rPr>
        <w:lastRenderedPageBreak/>
        <w:t>expects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minimum scholarship performance as a full-time student during  the period.</w:t>
      </w:r>
    </w:p>
    <w:p w14:paraId="00000010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4" w:right="296" w:firstLine="15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Because the timing of the chapter award is not synchronized with the academic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year,  the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period to meet GPA requirements for scholarship renewal is defined as follows: </w:t>
      </w:r>
    </w:p>
    <w:p w14:paraId="00000011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1" w:lineRule="auto"/>
        <w:ind w:left="1444" w:right="206" w:hanging="35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Year II: Cumulative GPA of all courses completed by the end of the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first  freshman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semester. </w:t>
      </w:r>
    </w:p>
    <w:p w14:paraId="00000012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1" w:lineRule="auto"/>
        <w:ind w:left="1444" w:right="248" w:hanging="34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Year III: Cumulative GPA for all credit hours earned through the end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of  the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third semester. </w:t>
      </w:r>
    </w:p>
    <w:p w14:paraId="00000013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1" w:lineRule="auto"/>
        <w:ind w:left="1449" w:right="536" w:hanging="355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∙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Year IV: Cumulative GPA for all credit hours earned through the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fifth  semester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</w:p>
    <w:p w14:paraId="00000014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1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standard GPA to qualify for a renewed scholarship is a 3.0 on a 4.0 scale. </w:t>
      </w:r>
    </w:p>
    <w:p w14:paraId="00000015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1" w:lineRule="auto"/>
        <w:ind w:left="2" w:right="252" w:firstLine="1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However, the chapter recognizes that schools vary in grading standards and the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first  year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of college requires many mature adjustments for the student. Since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timing  dictates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awarding the second year prize based on only half of the first academic year,  the GPA minimum level for renewal is set at 2.5 on a 4.0 scale. </w:t>
      </w:r>
    </w:p>
    <w:p w14:paraId="00000016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1" w:lineRule="auto"/>
        <w:ind w:left="9" w:right="264" w:hanging="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Academic performance is important and the amount of the prize is determined by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the  student’s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performance. The minimum cumulative grade performance (2.5 on a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4.0  scale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) will receive $300. </w:t>
      </w:r>
    </w:p>
    <w:p w14:paraId="00000017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2" w:lineRule="auto"/>
        <w:ind w:left="8" w:right="158" w:hanging="6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award will increase to $450 is the cumulative grade point is between 2.75 and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3.0  on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a 4.0 scale. </w:t>
      </w:r>
    </w:p>
    <w:p w14:paraId="00000018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1" w:lineRule="auto"/>
        <w:ind w:left="8" w:right="155" w:hanging="6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award will meet the maximum level of $600 when the cumulative grades are at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or  over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3.0 on a 4.0 scale. </w:t>
      </w:r>
    </w:p>
    <w:p w14:paraId="00000019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1" w:lineRule="auto"/>
        <w:ind w:left="5" w:right="167" w:firstLine="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If the cumulative GPA at any reporting deadline is below 2.5 on a 4.0 scale, the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award  for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the next period is cancelled. </w:t>
      </w:r>
    </w:p>
    <w:p w14:paraId="0000001A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1" w:lineRule="auto"/>
        <w:ind w:left="8" w:right="943" w:firstLine="3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If a student raises his cumulative GPA by the next reporting period to meet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the  chapter’s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GPA standard, the student’s award will be reinstated. </w:t>
      </w:r>
    </w:p>
    <w:p w14:paraId="0000001B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1" w:lineRule="auto"/>
        <w:ind w:left="8" w:right="33" w:hanging="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Additionally, the chapter expects the recipients to maintain high standards of moral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and  civil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behavior. </w:t>
      </w:r>
    </w:p>
    <w:p w14:paraId="0000001C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39" w:lineRule="auto"/>
        <w:ind w:left="9" w:right="18" w:hanging="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chapter reserves the right to revise the grant amounts if its financial status </w:t>
      </w:r>
      <w:proofErr w:type="gramStart"/>
      <w:r>
        <w:rPr>
          <w:rFonts w:ascii="Tahoma" w:eastAsia="Tahoma" w:hAnsi="Tahoma" w:cs="Tahoma"/>
          <w:color w:val="000000"/>
          <w:sz w:val="24"/>
          <w:szCs w:val="24"/>
        </w:rPr>
        <w:t>dictates  such</w:t>
      </w:r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action. </w:t>
      </w:r>
    </w:p>
    <w:p w14:paraId="0000001D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9" w:line="240" w:lineRule="auto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Attached: Scholarship Application</w:t>
      </w:r>
    </w:p>
    <w:p w14:paraId="0000001E" w14:textId="77777777" w:rsidR="008E3991" w:rsidRDefault="008E3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ahoma" w:eastAsia="Tahoma" w:hAnsi="Tahoma" w:cs="Tahoma"/>
          <w:sz w:val="24"/>
          <w:szCs w:val="24"/>
        </w:rPr>
      </w:pPr>
    </w:p>
    <w:p w14:paraId="0000001F" w14:textId="77777777" w:rsidR="008E3991" w:rsidRDefault="008E3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ahoma" w:eastAsia="Tahoma" w:hAnsi="Tahoma" w:cs="Tahoma"/>
          <w:sz w:val="24"/>
          <w:szCs w:val="24"/>
        </w:rPr>
      </w:pPr>
    </w:p>
    <w:p w14:paraId="00000020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CCPF ACADEMIC SCHOLARSHIP PROGRAM </w:t>
      </w:r>
    </w:p>
    <w:p w14:paraId="00000021" w14:textId="6DD8BB4C" w:rsidR="008E3991" w:rsidRDefault="001A0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1" w:line="240" w:lineRule="auto"/>
        <w:ind w:left="1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*Send this application, essay (listed below), a current transcript, and any other relevant information to </w:t>
      </w:r>
      <w:r w:rsidRPr="001A0532">
        <w:rPr>
          <w:rFonts w:ascii="Tahoma" w:eastAsia="Tahoma" w:hAnsi="Tahoma" w:cs="Tahoma"/>
          <w:color w:val="000000"/>
          <w:sz w:val="24"/>
          <w:szCs w:val="24"/>
          <w:highlight w:val="yellow"/>
        </w:rPr>
        <w:t>daniel.hartmanpf@gmail.com</w:t>
      </w:r>
    </w:p>
    <w:p w14:paraId="00000022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8" w:line="240" w:lineRule="auto"/>
        <w:ind w:left="1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Please Type or Print </w:t>
      </w:r>
    </w:p>
    <w:p w14:paraId="00000023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Date_________________ </w:t>
      </w:r>
    </w:p>
    <w:p w14:paraId="00000024" w14:textId="77777777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483" w:lineRule="auto"/>
        <w:ind w:left="9" w:right="1186" w:firstLine="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Name________________ Date of Birth______________ Home Address___________________________________________________ City_________________________ </w:t>
      </w:r>
    </w:p>
    <w:p w14:paraId="00000025" w14:textId="1C136650" w:rsidR="008E3991" w:rsidRDefault="00956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482" w:lineRule="auto"/>
        <w:ind w:right="783" w:firstLine="1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Email ______________________________ Phone Number________________ High School__________________ Graduation Date______________ College Preference__________________________________________ Major Area of Study_________________________________________ List or Attach in School Related Organizations____________________ __________________________________________________________ List or Attach Leadership Positions Held in High School_____________ __________________________________________________________ List or Attach Activities That Demonstrate Community Involvement____ ___________________________________________________________ List Job Experience___________________________________________  </w:t>
      </w:r>
    </w:p>
    <w:p w14:paraId="00000026" w14:textId="6FD0811E" w:rsidR="008E3991" w:rsidRDefault="001A0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39" w:lineRule="auto"/>
        <w:ind w:left="4" w:right="136" w:firstLine="5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Write a one page</w:t>
      </w:r>
      <w:r w:rsidR="00956991">
        <w:rPr>
          <w:rFonts w:ascii="Tahoma" w:eastAsia="Tahoma" w:hAnsi="Tahoma" w:cs="Tahoma"/>
          <w:color w:val="000000"/>
          <w:sz w:val="24"/>
          <w:szCs w:val="24"/>
        </w:rPr>
        <w:t xml:space="preserve"> autobiography</w:t>
      </w:r>
      <w:r>
        <w:rPr>
          <w:rFonts w:ascii="Tahoma" w:eastAsia="Tahoma" w:hAnsi="Tahoma" w:cs="Tahoma"/>
          <w:color w:val="000000"/>
          <w:sz w:val="24"/>
          <w:szCs w:val="24"/>
        </w:rPr>
        <w:t>/</w:t>
      </w:r>
      <w:r w:rsidR="00956991">
        <w:rPr>
          <w:rFonts w:ascii="Tahoma" w:eastAsia="Tahoma" w:hAnsi="Tahoma" w:cs="Tahoma"/>
          <w:color w:val="000000"/>
          <w:sz w:val="24"/>
          <w:szCs w:val="24"/>
        </w:rPr>
        <w:t xml:space="preserve">essay telling why you should </w:t>
      </w:r>
      <w:proofErr w:type="gramStart"/>
      <w:r w:rsidR="00956991">
        <w:rPr>
          <w:rFonts w:ascii="Tahoma" w:eastAsia="Tahoma" w:hAnsi="Tahoma" w:cs="Tahoma"/>
          <w:color w:val="000000"/>
          <w:sz w:val="24"/>
          <w:szCs w:val="24"/>
        </w:rPr>
        <w:t>receive  this</w:t>
      </w:r>
      <w:proofErr w:type="gramEnd"/>
      <w:r w:rsidR="00956991">
        <w:rPr>
          <w:rFonts w:ascii="Tahoma" w:eastAsia="Tahoma" w:hAnsi="Tahoma" w:cs="Tahoma"/>
          <w:color w:val="000000"/>
          <w:sz w:val="24"/>
          <w:szCs w:val="24"/>
        </w:rPr>
        <w:t xml:space="preserve"> scholarship make sure to include your outdoor activities</w:t>
      </w:r>
      <w:r>
        <w:rPr>
          <w:rFonts w:ascii="Tahoma" w:eastAsia="Tahoma" w:hAnsi="Tahoma" w:cs="Tahoma"/>
          <w:color w:val="000000"/>
          <w:sz w:val="24"/>
          <w:szCs w:val="24"/>
        </w:rPr>
        <w:t>, achievements, and other qualifying factors.</w:t>
      </w:r>
    </w:p>
    <w:sectPr w:rsidR="008E3991">
      <w:pgSz w:w="12240" w:h="15840"/>
      <w:pgMar w:top="864" w:right="1402" w:bottom="823" w:left="14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91"/>
    <w:rsid w:val="001A0532"/>
    <w:rsid w:val="001C22E6"/>
    <w:rsid w:val="002A0D7B"/>
    <w:rsid w:val="002F7AAE"/>
    <w:rsid w:val="005454B5"/>
    <w:rsid w:val="008E3991"/>
    <w:rsid w:val="008F6162"/>
    <w:rsid w:val="00956991"/>
    <w:rsid w:val="00977C93"/>
    <w:rsid w:val="00D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9540"/>
  <w15:docId w15:val="{D301D553-2F40-4738-B4BC-83E16B95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Clark</dc:creator>
  <cp:lastModifiedBy>Stacey Bontz</cp:lastModifiedBy>
  <cp:revision>2</cp:revision>
  <dcterms:created xsi:type="dcterms:W3CDTF">2025-12-15T21:28:00Z</dcterms:created>
  <dcterms:modified xsi:type="dcterms:W3CDTF">2025-12-15T21:28:00Z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293abe-9cdf-4eda-bafa-ea0855bbbb38_Enabled">
    <vt:lpwstr>true</vt:lpwstr>
  </property>
  <property fmtid="{D5CDD505-2E9C-101B-9397-08002B2CF9AE}" pid="3" name="MSIP_Label_26293abe-9cdf-4eda-bafa-ea0855bbbb38_SetDate">
    <vt:lpwstr>2024-11-12T20:03:09Z</vt:lpwstr>
  </property>
  <property fmtid="{D5CDD505-2E9C-101B-9397-08002B2CF9AE}" pid="4" name="MSIP_Label_26293abe-9cdf-4eda-bafa-ea0855bbbb38_Method">
    <vt:lpwstr>Privileged</vt:lpwstr>
  </property>
  <property fmtid="{D5CDD505-2E9C-101B-9397-08002B2CF9AE}" pid="5" name="MSIP_Label_26293abe-9cdf-4eda-bafa-ea0855bbbb38_Name">
    <vt:lpwstr>Classification Public</vt:lpwstr>
  </property>
  <property fmtid="{D5CDD505-2E9C-101B-9397-08002B2CF9AE}" pid="6" name="MSIP_Label_26293abe-9cdf-4eda-bafa-ea0855bbbb38_SiteId">
    <vt:lpwstr>2f55bf32-42d4-44b3-a8c2-930ac8b182b2</vt:lpwstr>
  </property>
  <property fmtid="{D5CDD505-2E9C-101B-9397-08002B2CF9AE}" pid="7" name="MSIP_Label_26293abe-9cdf-4eda-bafa-ea0855bbbb38_ActionId">
    <vt:lpwstr>785e9ee8-b63c-423f-90be-1d0d8b636cdc</vt:lpwstr>
  </property>
  <property fmtid="{D5CDD505-2E9C-101B-9397-08002B2CF9AE}" pid="8" name="MSIP_Label_26293abe-9cdf-4eda-bafa-ea0855bbbb38_ContentBits">
    <vt:lpwstr>0</vt:lpwstr>
  </property>
</Properties>
</file>