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5981017D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963988">
              <w:rPr>
                <w:b/>
                <w:bCs/>
              </w:rPr>
              <w:t>December</w:t>
            </w:r>
            <w:r w:rsidR="00E51215">
              <w:rPr>
                <w:b/>
                <w:bCs/>
              </w:rPr>
              <w:t xml:space="preserve"> </w:t>
            </w:r>
            <w:r w:rsidR="00FB3C4A">
              <w:rPr>
                <w:b/>
                <w:bCs/>
              </w:rPr>
              <w:t>16-20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49875B88" w:rsidR="007E6EAC" w:rsidRPr="00FB3C4A" w:rsidRDefault="00FB3C4A" w:rsidP="0030670F">
            <w:pPr>
              <w:spacing w:after="0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Review of Standards 10.1-10.4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633608FF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FB3C4A">
              <w:rPr>
                <w:b/>
                <w:bCs/>
              </w:rPr>
              <w:t>recall the information covered on the standards from this semester.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40CD1564" w14:textId="7E446587" w:rsidR="005D4199" w:rsidRPr="00C55FA4" w:rsidRDefault="00FB3C4A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Semester Review</w:t>
            </w:r>
            <w:r w:rsidR="005D4199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1C" w14:textId="77777777" w:rsidR="002E48BE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</w:p>
          <w:p w14:paraId="42352900" w14:textId="77777777" w:rsidR="00F6586C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59870A61" w:rsidR="00F6586C" w:rsidRPr="009C06A7" w:rsidRDefault="00FB3C4A" w:rsidP="005D4199">
            <w:pPr>
              <w:spacing w:after="0" w:line="259" w:lineRule="auto"/>
              <w:jc w:val="center"/>
            </w:pPr>
            <w:r>
              <w:rPr>
                <w:b/>
                <w:bCs/>
                <w:color w:val="92D050"/>
              </w:rPr>
              <w:t>Semester Review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0AA7105B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A935F4">
              <w:rPr>
                <w:b/>
                <w:bCs/>
                <w:color w:val="00B0F0"/>
              </w:rPr>
              <w:t>3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4E3275D2" w:rsidR="002E48BE" w:rsidRPr="00545DDB" w:rsidRDefault="00FB3C4A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Semester Review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01217F8F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A935F4">
              <w:rPr>
                <w:b/>
                <w:bCs/>
                <w:color w:val="FFC000"/>
              </w:rPr>
              <w:t>3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48466966" w:rsidR="003A2F01" w:rsidRPr="00545DDB" w:rsidRDefault="00FB3C4A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Semester Exam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633A20A5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A935F4">
              <w:rPr>
                <w:b/>
                <w:bCs/>
                <w:color w:val="7030A0"/>
              </w:rPr>
              <w:t>3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07DB8C03" w:rsidR="00F5542E" w:rsidRPr="00545DDB" w:rsidRDefault="00FB3C4A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Semester Exam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34E927E7" w14:textId="098F3C8F" w:rsidR="00F6586C" w:rsidRPr="00430932" w:rsidRDefault="00F6586C" w:rsidP="00F658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</w:t>
            </w:r>
            <w:r w:rsidR="00963988">
              <w:rPr>
                <w:b/>
                <w:bCs/>
                <w:color w:val="FF0000"/>
              </w:rPr>
              <w:t xml:space="preserve">s will </w:t>
            </w:r>
            <w:r w:rsidR="00FB3C4A">
              <w:rPr>
                <w:b/>
                <w:bCs/>
                <w:color w:val="FF0000"/>
              </w:rPr>
              <w:t>work on the semester exam study guide.</w:t>
            </w:r>
          </w:p>
          <w:p w14:paraId="6FAE7067" w14:textId="77777777" w:rsidR="00FB3C4A" w:rsidRDefault="00FB3C4A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 w:rsidRPr="00FB3C4A">
              <w:rPr>
                <w:b/>
                <w:bCs/>
                <w:color w:val="92D050"/>
              </w:rPr>
              <w:t>Students will work on the semester exam study guide.</w:t>
            </w:r>
          </w:p>
          <w:p w14:paraId="20A66C09" w14:textId="77777777" w:rsidR="00FB3C4A" w:rsidRDefault="00FB3C4A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FB3C4A">
              <w:rPr>
                <w:b/>
                <w:bCs/>
                <w:color w:val="00B0F0"/>
              </w:rPr>
              <w:t>Students will work on the semester exam study guide.</w:t>
            </w:r>
          </w:p>
          <w:p w14:paraId="0F09DE5C" w14:textId="304EA665" w:rsidR="005D4199" w:rsidRDefault="005D4199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5D4199">
              <w:rPr>
                <w:b/>
                <w:bCs/>
                <w:color w:val="FFC000"/>
              </w:rPr>
              <w:t xml:space="preserve">Students will </w:t>
            </w:r>
            <w:r w:rsidR="00FB3C4A">
              <w:rPr>
                <w:b/>
                <w:bCs/>
                <w:color w:val="FFC000"/>
              </w:rPr>
              <w:t>take the semester exam.</w:t>
            </w:r>
          </w:p>
          <w:p w14:paraId="2DCB909B" w14:textId="3FBF9100" w:rsidR="00934425" w:rsidRPr="00934425" w:rsidRDefault="005D4199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t xml:space="preserve">Students will </w:t>
            </w:r>
            <w:r w:rsidR="00FB3C4A">
              <w:rPr>
                <w:b/>
                <w:bCs/>
                <w:color w:val="7030A0"/>
              </w:rPr>
              <w:t>take the semester exam.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035B4643" w:rsidR="00FD1930" w:rsidRPr="00432193" w:rsidRDefault="00F5542E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1BBF1D30" w:rsidR="00CB5A66" w:rsidRPr="001D3225" w:rsidRDefault="007E6EAC" w:rsidP="00FD1930">
            <w:pPr>
              <w:spacing w:after="0"/>
              <w:rPr>
                <w:b/>
                <w:bCs/>
              </w:rPr>
            </w:pPr>
            <w:r w:rsidRPr="007E6EAC">
              <w:rPr>
                <w:b/>
                <w:bCs/>
              </w:rPr>
              <w:t>Describe the political system of the United States based on the Constitution of the United States.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023400AB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Evaluating the </w:t>
            </w:r>
            <w:r w:rsidR="007E6EAC">
              <w:rPr>
                <w:b/>
                <w:bCs/>
              </w:rPr>
              <w:t>significance of the Constitution of the United States on the lives of American Citizens.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6363" w14:textId="77777777" w:rsidR="00F41332" w:rsidRDefault="00F41332" w:rsidP="00947B76">
      <w:pPr>
        <w:spacing w:after="0"/>
      </w:pPr>
      <w:r>
        <w:separator/>
      </w:r>
    </w:p>
  </w:endnote>
  <w:endnote w:type="continuationSeparator" w:id="0">
    <w:p w14:paraId="222776C0" w14:textId="77777777" w:rsidR="00F41332" w:rsidRDefault="00F41332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62E94" w14:textId="77777777" w:rsidR="00F41332" w:rsidRDefault="00F41332" w:rsidP="00947B76">
      <w:pPr>
        <w:spacing w:after="0"/>
      </w:pPr>
      <w:r>
        <w:separator/>
      </w:r>
    </w:p>
  </w:footnote>
  <w:footnote w:type="continuationSeparator" w:id="0">
    <w:p w14:paraId="69A4F637" w14:textId="77777777" w:rsidR="00F41332" w:rsidRDefault="00F41332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A2F01"/>
    <w:rsid w:val="003A5BBC"/>
    <w:rsid w:val="003B1DDF"/>
    <w:rsid w:val="003C2BB8"/>
    <w:rsid w:val="003D7357"/>
    <w:rsid w:val="003E0F90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A6478"/>
    <w:rsid w:val="005C3E44"/>
    <w:rsid w:val="005D2A6E"/>
    <w:rsid w:val="005D4199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876E1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542DB"/>
    <w:rsid w:val="00E77EFF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80A87"/>
    <w:rsid w:val="00F82181"/>
    <w:rsid w:val="00FB3C4A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2024-12-15T23:34:00Z</dcterms:created>
  <dcterms:modified xsi:type="dcterms:W3CDTF">2024-12-15T23:37:00Z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