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2FD4" w14:textId="77777777" w:rsidR="001A20B8" w:rsidRDefault="001A20B8" w:rsidP="001A20B8">
      <w:pPr>
        <w:pStyle w:val="Title"/>
        <w:spacing w:line="342" w:lineRule="atLeast"/>
        <w:rPr>
          <w:rFonts w:cs="Times New Roman"/>
          <w:color w:val="000000"/>
          <w:szCs w:val="32"/>
        </w:rPr>
      </w:pPr>
      <w:r>
        <w:rPr>
          <w:rStyle w:val="titlechar0"/>
          <w:b w:val="0"/>
          <w:bCs w:val="0"/>
          <w:color w:val="000000"/>
          <w:szCs w:val="32"/>
          <w:lang w:val="es-ES"/>
        </w:rPr>
        <w:t>Plan público ESSER 3.0 para los fondos restantes</w:t>
      </w:r>
      <w:r>
        <w:rPr>
          <w:b w:val="0"/>
          <w:bCs w:val="0"/>
          <w:color w:val="000000"/>
          <w:szCs w:val="32"/>
        </w:rPr>
        <w:br/>
      </w:r>
      <w:r>
        <w:rPr>
          <w:color w:val="000000"/>
          <w:szCs w:val="32"/>
          <w:lang w:val="es-ES"/>
        </w:rPr>
        <w:t>Guía de adición</w:t>
      </w:r>
    </w:p>
    <w:p w14:paraId="6FF492E8" w14:textId="77777777" w:rsidR="001A20B8" w:rsidRDefault="001A20B8" w:rsidP="001A20B8">
      <w:pPr>
        <w:spacing w:line="214" w:lineRule="atLeast"/>
        <w:jc w:val="center"/>
        <w:rPr>
          <w:color w:val="000000"/>
          <w:szCs w:val="20"/>
        </w:rPr>
      </w:pPr>
      <w:r>
        <w:rPr>
          <w:rFonts w:ascii="PermianSlabSerifTypeface" w:hAnsi="PermianSlabSerifTypeface"/>
          <w:color w:val="000000"/>
          <w:sz w:val="32"/>
          <w:szCs w:val="32"/>
          <w:lang w:val="es-ES"/>
        </w:rPr>
        <w:t>2022-23</w:t>
      </w:r>
    </w:p>
    <w:p w14:paraId="14B4D126" w14:textId="77777777" w:rsidR="001A20B8" w:rsidRDefault="001A20B8" w:rsidP="001A20B8">
      <w:pPr>
        <w:spacing w:line="214" w:lineRule="atLeast"/>
        <w:rPr>
          <w:color w:val="000000"/>
          <w:szCs w:val="20"/>
        </w:rPr>
      </w:pPr>
      <w:r>
        <w:rPr>
          <w:color w:val="000000"/>
          <w:szCs w:val="20"/>
          <w:lang w:val="es-ES"/>
        </w:rPr>
        <w:t>Las agencias educativas locales (LEA) deben actualizar el Plan Público ESSER 3.0 cada seis meses hasta el 30 de septiembre de 2023. Cada vez, las</w:t>
      </w:r>
      <w:r>
        <w:rPr>
          <w:b/>
          <w:bCs/>
          <w:color w:val="000000"/>
          <w:szCs w:val="20"/>
          <w:lang w:val="es-ES"/>
        </w:rPr>
        <w:t> </w:t>
      </w:r>
      <w:r>
        <w:rPr>
          <w:color w:val="000000"/>
          <w:szCs w:val="20"/>
          <w:lang w:val="es-ES"/>
        </w:rPr>
        <w:t>LEA deben buscar la opinión del público sobre el plan y cualquier revisión y deben tener en cuenta dicha información.</w:t>
      </w:r>
    </w:p>
    <w:p w14:paraId="77C8483D" w14:textId="77777777" w:rsidR="001A20B8" w:rsidRDefault="001A20B8" w:rsidP="001A20B8">
      <w:pPr>
        <w:spacing w:line="214" w:lineRule="atLeast"/>
        <w:rPr>
          <w:color w:val="000000"/>
          <w:szCs w:val="20"/>
        </w:rPr>
      </w:pPr>
      <w:r>
        <w:rPr>
          <w:color w:val="000000"/>
          <w:szCs w:val="20"/>
          <w:lang w:val="es-ES"/>
        </w:rPr>
        <w:t>Cada LEA debe completar el apéndice y cargarlo en ePlan en la Biblioteca de documentos de LEA (15 de febrero y 15 de septiembre). La LEA también debe publicar el apéndice en el sitio web de la LEA. Al igual que el desarrollo del plan, todas las revisiones deben ser informadas por los aportes de la comunidad y revisadas y aprobadas por el cuerpo directivo antes de publicarlas en el sitio web disponible públicamente de la LEA. El plan tiene por objeto proporcionar transparencia a las partes interesadas.</w:t>
      </w:r>
    </w:p>
    <w:p w14:paraId="59883728" w14:textId="77777777" w:rsidR="001A20B8" w:rsidRDefault="001A20B8" w:rsidP="001A20B8">
      <w:pPr>
        <w:spacing w:line="214" w:lineRule="atLeast"/>
        <w:rPr>
          <w:color w:val="000000"/>
          <w:szCs w:val="20"/>
          <w:lang w:val="es-ES"/>
        </w:rPr>
      </w:pPr>
      <w:r>
        <w:rPr>
          <w:color w:val="000000"/>
          <w:szCs w:val="20"/>
          <w:lang w:val="es-ES"/>
        </w:rPr>
        <w:t>Tenga en cuenta lo siguiente al completar el apéndice:</w:t>
      </w:r>
    </w:p>
    <w:p w14:paraId="59B8E20E"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En la página de resumen, los montos deben sumar el monto de arrastre para el año fiscal 23 para cada fondo de ayuda: ESSER 2.0 y ESSER 3.0.</w:t>
      </w:r>
    </w:p>
    <w:p w14:paraId="24C51BD6"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La LEA debe responder a todas las preguntas del documento.</w:t>
      </w:r>
    </w:p>
    <w:p w14:paraId="38C9B809"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Las respuestas de participación de las partes interesadas deben alinearse estrechamente con la participación de las partes interesadas en el Plan de Salud y Seguridad.</w:t>
      </w:r>
    </w:p>
    <w:p w14:paraId="2DA5FC33"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La LEA debe garantizar que utiliza múltiples modelos de compromiso ofrecidos a las partes interesadas. Los ejemplos pueden incluir encuestas, reuniones de comités en persona o virtuales, reuniones públicas u otras oportunidades de participación inclusiva.</w:t>
      </w:r>
    </w:p>
    <w:p w14:paraId="53C8FC94"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Las LEA deben involucrar a todos los grupos aplicables señalados en consultas significativas durante la elaboración del plan y al realizar revisiones o actualizaciones significativas del plan.</w:t>
      </w:r>
    </w:p>
    <w:p w14:paraId="608EA19D"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El número de partes interesadas involucradas debe representar la composición de los estudiantes. Por ejemplo, si los estudiantes con discapacidades representan el 15 por ciento de los estudiantes, entonces el 10-20 por ciento de los encuestados deben representar a este subgrupo.</w:t>
      </w:r>
    </w:p>
    <w:p w14:paraId="5ADAFACC"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Asegúrese de que la participación de las partes interesadas haya ocurrido antes del desarrollo / revisión del plan.</w:t>
      </w:r>
    </w:p>
    <w:p w14:paraId="1DD43A21"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Los planes requieren la aprobación de la junta local y la publicación pública.</w:t>
      </w:r>
    </w:p>
    <w:p w14:paraId="71C6CB8B" w14:textId="77777777" w:rsidR="001A20B8" w:rsidRDefault="001A20B8" w:rsidP="001A20B8">
      <w:pPr>
        <w:pStyle w:val="ListParagraph"/>
        <w:spacing w:after="0"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Las LEA deben actualizar el Plan Público ESSER al menos cada seis meses hasta el 30 de septiembre de 2023, buscar la opinión del público sobre el plan y cualquier revisión, y tener en cuenta dicha información.</w:t>
      </w:r>
    </w:p>
    <w:p w14:paraId="727B7F3E" w14:textId="77777777" w:rsidR="001A20B8" w:rsidRDefault="001A20B8" w:rsidP="001A20B8">
      <w:pPr>
        <w:pStyle w:val="ListParagraph"/>
        <w:spacing w:line="214" w:lineRule="atLeast"/>
        <w:ind w:hanging="360"/>
        <w:rPr>
          <w:color w:val="000000"/>
          <w:szCs w:val="20"/>
        </w:rPr>
      </w:pPr>
      <w:r>
        <w:rPr>
          <w:rFonts w:ascii="Symbol" w:hAnsi="Symbol"/>
          <w:color w:val="000000"/>
          <w:szCs w:val="20"/>
        </w:rPr>
        <w:t></w:t>
      </w:r>
      <w:r>
        <w:rPr>
          <w:color w:val="000000"/>
          <w:sz w:val="14"/>
          <w:szCs w:val="14"/>
        </w:rPr>
        <w:t>         </w:t>
      </w:r>
      <w:r>
        <w:rPr>
          <w:color w:val="000000"/>
          <w:szCs w:val="20"/>
          <w:lang w:val="es-ES"/>
        </w:rPr>
        <w:t>La Ley del Plan de Rescate Americano (ARP) requiere que las LEA publiquen planes en línea en un idioma que los padres / cuidadores puedan entender, o no es factible proporcionar traducciones escritas a una persona con dominio limitado del inglés, se traduzca oralmente. El plan también debe ser proporcionado en un formato alternativo accesible, previa solicitud, por un padre que es una persona con una discapacidad según lo define la Ley de Estadounidenses con Discapacidades.</w:t>
      </w:r>
    </w:p>
    <w:p w14:paraId="06CD4F29" w14:textId="77777777" w:rsidR="001A20B8" w:rsidRDefault="001A20B8" w:rsidP="001A20B8">
      <w:pPr>
        <w:spacing w:line="214" w:lineRule="atLeast"/>
        <w:rPr>
          <w:color w:val="000000"/>
          <w:szCs w:val="20"/>
        </w:rPr>
      </w:pPr>
      <w:r>
        <w:rPr>
          <w:color w:val="000000"/>
          <w:szCs w:val="20"/>
          <w:shd w:val="clear" w:color="auto" w:fill="FFFF00"/>
        </w:rPr>
        <w:t> </w:t>
      </w:r>
    </w:p>
    <w:p w14:paraId="0D627F16" w14:textId="77777777" w:rsidR="001A20B8" w:rsidRDefault="001A20B8" w:rsidP="001A20B8">
      <w:pPr>
        <w:spacing w:line="214" w:lineRule="atLeast"/>
        <w:rPr>
          <w:color w:val="000000"/>
          <w:szCs w:val="20"/>
        </w:rPr>
      </w:pPr>
      <w:r>
        <w:rPr>
          <w:color w:val="000000"/>
          <w:szCs w:val="20"/>
          <w:shd w:val="clear" w:color="auto" w:fill="FFFF00"/>
        </w:rPr>
        <w:t> </w:t>
      </w:r>
    </w:p>
    <w:p w14:paraId="16B22265" w14:textId="77777777" w:rsidR="001A20B8" w:rsidRDefault="001A20B8" w:rsidP="001A20B8">
      <w:pPr>
        <w:rPr>
          <w:rFonts w:ascii="Times New Roman" w:hAnsi="Times New Roman" w:cs="Times New Roman"/>
          <w:sz w:val="24"/>
          <w:szCs w:val="24"/>
        </w:rPr>
      </w:pPr>
      <w:r>
        <w:rPr>
          <w:color w:val="000000"/>
          <w:szCs w:val="20"/>
          <w:shd w:val="clear" w:color="auto" w:fill="FFFF00"/>
        </w:rPr>
        <w:br w:type="textWrapping" w:clear="all"/>
      </w:r>
    </w:p>
    <w:p w14:paraId="4ADE4765" w14:textId="77777777" w:rsidR="001A20B8" w:rsidRDefault="001A20B8" w:rsidP="001A20B8">
      <w:pPr>
        <w:spacing w:after="160" w:line="214" w:lineRule="atLeast"/>
        <w:rPr>
          <w:color w:val="000000"/>
          <w:szCs w:val="20"/>
        </w:rPr>
      </w:pPr>
      <w:r>
        <w:rPr>
          <w:color w:val="000000"/>
          <w:szCs w:val="20"/>
          <w:shd w:val="clear" w:color="auto" w:fill="FFFF00"/>
        </w:rPr>
        <w:t> </w:t>
      </w:r>
    </w:p>
    <w:p w14:paraId="4C65CB34" w14:textId="77777777" w:rsidR="001A20B8" w:rsidRDefault="001A20B8" w:rsidP="001A20B8">
      <w:pPr>
        <w:pStyle w:val="Title"/>
        <w:spacing w:line="342" w:lineRule="atLeast"/>
        <w:rPr>
          <w:rFonts w:cs="Times New Roman"/>
          <w:color w:val="000000"/>
          <w:szCs w:val="32"/>
        </w:rPr>
      </w:pPr>
      <w:r>
        <w:rPr>
          <w:rStyle w:val="titlechar0"/>
          <w:b w:val="0"/>
          <w:bCs w:val="0"/>
          <w:color w:val="000000"/>
          <w:szCs w:val="32"/>
          <w:lang w:val="es-ES"/>
        </w:rPr>
        <w:t>Plan público ESSER 3.0 para los fondos restantes</w:t>
      </w:r>
    </w:p>
    <w:p w14:paraId="783157BD" w14:textId="77777777" w:rsidR="001A20B8" w:rsidRDefault="001A20B8" w:rsidP="001A20B8">
      <w:pPr>
        <w:spacing w:line="214" w:lineRule="atLeast"/>
        <w:rPr>
          <w:color w:val="000000"/>
          <w:szCs w:val="20"/>
        </w:rPr>
      </w:pPr>
      <w:r>
        <w:rPr>
          <w:color w:val="000000"/>
          <w:szCs w:val="20"/>
          <w:lang w:val="es-ES"/>
        </w:rPr>
        <w:t xml:space="preserve">El Fondo de Ayuda de Emergencia 3.0 para Escuelas Primarias y Secundarias (ESSER 3.0) bajo la Ley del Plan de Rescate Americano (ARP) de 2021, Ley Pública 117-2, se promulgó el 11 de marzo de 2021. Los fondos proporcionados a las agencias educativas estatales y locales (LEA) ayudan a reabrir de manera segura y </w:t>
      </w:r>
      <w:r>
        <w:rPr>
          <w:color w:val="000000"/>
          <w:szCs w:val="20"/>
          <w:lang w:val="es-ES"/>
        </w:rPr>
        <w:lastRenderedPageBreak/>
        <w:t>mantener el funcionamiento seguro de las escuelas y abordar el impacto de la pandemia de coronavirus en los estudiantes de la nación.</w:t>
      </w:r>
    </w:p>
    <w:p w14:paraId="17FFE34D" w14:textId="77777777" w:rsidR="001A20B8" w:rsidRDefault="001A20B8" w:rsidP="001A20B8">
      <w:pPr>
        <w:spacing w:line="214" w:lineRule="atLeast"/>
        <w:rPr>
          <w:color w:val="000000"/>
          <w:szCs w:val="20"/>
        </w:rPr>
      </w:pPr>
      <w:r>
        <w:rPr>
          <w:color w:val="000000"/>
          <w:szCs w:val="20"/>
          <w:lang w:val="es-ES"/>
        </w:rPr>
        <w:t>En el otoño de 2021, las LEA desarrollaron y pusieron a disposición del público un </w:t>
      </w:r>
      <w:r>
        <w:rPr>
          <w:i/>
          <w:iCs/>
          <w:color w:val="000000"/>
          <w:szCs w:val="20"/>
          <w:lang w:val="es-ES"/>
        </w:rPr>
        <w:t>Plan Público: Gasto de Ayuda Federal</w:t>
      </w:r>
      <w:r>
        <w:rPr>
          <w:color w:val="000000"/>
          <w:szCs w:val="20"/>
          <w:lang w:val="es-ES"/>
        </w:rPr>
        <w:t>. Todos los planes se desarrollaron con una consulta pública significativa con los grupos de partes interesadas. Al igual que el desarrollo del plan, todas las revisiones deben ser informadas por los aportes de la comunidad y revisadas y aprobadas por el cuerpo directivo antes de publicarlas en el sitio web disponible públicamente de la LEA.</w:t>
      </w:r>
    </w:p>
    <w:p w14:paraId="4EBFBB57" w14:textId="77777777" w:rsidR="001A20B8" w:rsidRDefault="001A20B8" w:rsidP="001A20B8">
      <w:pPr>
        <w:spacing w:line="214" w:lineRule="atLeast"/>
        <w:rPr>
          <w:color w:val="000000"/>
          <w:szCs w:val="20"/>
          <w:lang w:val="es-ES"/>
        </w:rPr>
      </w:pPr>
      <w:r>
        <w:rPr>
          <w:color w:val="000000"/>
          <w:szCs w:val="20"/>
          <w:lang w:val="es-ES"/>
        </w:rPr>
        <w:t>La siguiente información está destinada a actualizar a las partes interesadas y abordar el requisito.</w:t>
      </w:r>
    </w:p>
    <w:p w14:paraId="2C82E58D" w14:textId="77777777" w:rsidR="001A20B8" w:rsidRDefault="001A20B8" w:rsidP="001A20B8">
      <w:pPr>
        <w:spacing w:line="214" w:lineRule="atLeast"/>
        <w:rPr>
          <w:color w:val="000000"/>
          <w:szCs w:val="20"/>
        </w:rPr>
      </w:pPr>
      <w:r>
        <w:rPr>
          <w:color w:val="000000"/>
          <w:szCs w:val="20"/>
        </w:rPr>
        <w:t> </w:t>
      </w:r>
    </w:p>
    <w:p w14:paraId="34AD301C" w14:textId="77777777" w:rsidR="001A20B8" w:rsidRDefault="001A20B8" w:rsidP="001A20B8">
      <w:pPr>
        <w:pStyle w:val="Heading2"/>
        <w:spacing w:line="214" w:lineRule="atLeast"/>
        <w:rPr>
          <w:iCs/>
          <w:color w:val="000000"/>
          <w:szCs w:val="20"/>
          <w:lang w:val="es-ES"/>
        </w:rPr>
      </w:pPr>
      <w:r>
        <w:rPr>
          <w:i w:val="0"/>
          <w:iCs/>
          <w:color w:val="000000"/>
          <w:szCs w:val="20"/>
          <w:lang w:val="es-ES"/>
        </w:rPr>
        <w:t>Información general</w:t>
      </w:r>
    </w:p>
    <w:p w14:paraId="731B6C7F" w14:textId="77777777" w:rsidR="001A20B8" w:rsidRDefault="001A20B8" w:rsidP="001A20B8">
      <w:pPr>
        <w:spacing w:line="214" w:lineRule="atLeast"/>
        <w:rPr>
          <w:color w:val="000000"/>
          <w:szCs w:val="20"/>
        </w:rPr>
      </w:pPr>
      <w:r>
        <w:rPr>
          <w:color w:val="000000"/>
          <w:szCs w:val="20"/>
          <w:lang w:val="es-ES"/>
        </w:rPr>
        <w:t>Nombre LEA: Distrito Escolar Especial de West Carroll</w:t>
      </w:r>
      <w:r>
        <w:rPr>
          <w:color w:val="000000"/>
          <w:szCs w:val="20"/>
          <w:u w:val="single"/>
        </w:rPr>
        <w:t>                                                                                                   </w:t>
      </w:r>
    </w:p>
    <w:p w14:paraId="7E1E4B87" w14:textId="77777777" w:rsidR="001A20B8" w:rsidRDefault="001A20B8" w:rsidP="001A20B8">
      <w:pPr>
        <w:spacing w:line="214" w:lineRule="atLeast"/>
        <w:rPr>
          <w:color w:val="000000"/>
          <w:szCs w:val="20"/>
        </w:rPr>
      </w:pPr>
      <w:r>
        <w:rPr>
          <w:color w:val="000000"/>
          <w:szCs w:val="20"/>
          <w:lang w:val="es-ES"/>
        </w:rPr>
        <w:t>Director de Escuelas (Nombre): Preston Caldwell</w:t>
      </w:r>
      <w:r>
        <w:rPr>
          <w:color w:val="000000"/>
          <w:szCs w:val="20"/>
          <w:u w:val="single"/>
        </w:rPr>
        <w:t>                                                                                                     </w:t>
      </w:r>
    </w:p>
    <w:p w14:paraId="6B4482EF" w14:textId="77777777" w:rsidR="001A20B8" w:rsidRDefault="001A20B8" w:rsidP="001A20B8">
      <w:pPr>
        <w:spacing w:line="214" w:lineRule="atLeast"/>
        <w:rPr>
          <w:color w:val="000000"/>
          <w:szCs w:val="20"/>
        </w:rPr>
      </w:pPr>
      <w:r>
        <w:rPr>
          <w:color w:val="000000"/>
          <w:szCs w:val="20"/>
          <w:lang w:val="es-ES"/>
        </w:rPr>
        <w:t>Directora de ESSER (Nombre): Kellie Medina Rollins</w:t>
      </w:r>
      <w:r>
        <w:rPr>
          <w:color w:val="000000"/>
          <w:szCs w:val="20"/>
          <w:u w:val="single"/>
        </w:rPr>
        <w:t>                                                                                                     </w:t>
      </w:r>
    </w:p>
    <w:p w14:paraId="3E6005A2" w14:textId="77777777" w:rsidR="001A20B8" w:rsidRDefault="001A20B8" w:rsidP="001A20B8">
      <w:pPr>
        <w:spacing w:line="214" w:lineRule="atLeast"/>
        <w:rPr>
          <w:color w:val="000000"/>
          <w:szCs w:val="20"/>
        </w:rPr>
      </w:pPr>
      <w:r>
        <w:rPr>
          <w:color w:val="000000"/>
          <w:szCs w:val="20"/>
          <w:lang w:val="es-ES"/>
        </w:rPr>
        <w:t>Dirección: 1415 Hwy 77 Atwood TN 38220</w:t>
      </w:r>
      <w:r>
        <w:rPr>
          <w:color w:val="000000"/>
          <w:szCs w:val="20"/>
          <w:u w:val="single"/>
        </w:rPr>
        <w:t>                                                                                                          </w:t>
      </w:r>
    </w:p>
    <w:p w14:paraId="04C4E69B" w14:textId="77777777" w:rsidR="001A20B8" w:rsidRDefault="001A20B8" w:rsidP="001A20B8">
      <w:pPr>
        <w:spacing w:line="214" w:lineRule="atLeast"/>
        <w:rPr>
          <w:color w:val="000000"/>
          <w:szCs w:val="20"/>
        </w:rPr>
      </w:pPr>
      <w:r>
        <w:rPr>
          <w:color w:val="000000"/>
          <w:szCs w:val="20"/>
          <w:lang w:val="es-ES"/>
        </w:rPr>
        <w:t>Teléfono #: (731)662-4200 Sitio web</w:t>
      </w:r>
      <w:r>
        <w:rPr>
          <w:color w:val="000000"/>
          <w:szCs w:val="20"/>
          <w:u w:val="single"/>
          <w:lang w:val="es-ES"/>
        </w:rPr>
        <w:t> </w:t>
      </w:r>
      <w:r>
        <w:rPr>
          <w:color w:val="000000"/>
          <w:szCs w:val="20"/>
          <w:lang w:val="es-ES"/>
        </w:rPr>
        <w:t>del distrito: wcssd.org</w:t>
      </w:r>
      <w:r>
        <w:rPr>
          <w:color w:val="000000"/>
          <w:szCs w:val="20"/>
          <w:u w:val="single"/>
        </w:rPr>
        <w:t>                                                                       </w:t>
      </w:r>
    </w:p>
    <w:p w14:paraId="10CF781E" w14:textId="77777777" w:rsidR="001A20B8" w:rsidRDefault="001A20B8" w:rsidP="001A20B8">
      <w:pPr>
        <w:spacing w:line="214" w:lineRule="atLeast"/>
        <w:rPr>
          <w:color w:val="000000"/>
          <w:szCs w:val="20"/>
        </w:rPr>
      </w:pPr>
      <w:r>
        <w:rPr>
          <w:color w:val="000000"/>
          <w:szCs w:val="20"/>
          <w:lang w:val="es-ES"/>
        </w:rPr>
        <w:t>Fecha de adenda: 9/12/22</w:t>
      </w:r>
      <w:r>
        <w:rPr>
          <w:color w:val="000000"/>
          <w:szCs w:val="20"/>
          <w:u w:val="single"/>
        </w:rPr>
        <w:t>                                                                                                                                 </w:t>
      </w:r>
    </w:p>
    <w:p w14:paraId="023FC608" w14:textId="77777777" w:rsidR="001A20B8" w:rsidRDefault="001A20B8" w:rsidP="001A20B8">
      <w:pPr>
        <w:spacing w:line="214" w:lineRule="atLeast"/>
        <w:rPr>
          <w:color w:val="000000"/>
          <w:szCs w:val="20"/>
        </w:rPr>
      </w:pPr>
      <w:r>
        <w:rPr>
          <w:color w:val="000000"/>
          <w:szCs w:val="20"/>
        </w:rPr>
        <w:t> </w:t>
      </w:r>
    </w:p>
    <w:tbl>
      <w:tblPr>
        <w:tblW w:w="0" w:type="auto"/>
        <w:tblCellMar>
          <w:left w:w="0" w:type="dxa"/>
          <w:right w:w="0" w:type="dxa"/>
        </w:tblCellMar>
        <w:tblLook w:val="04A0" w:firstRow="1" w:lastRow="0" w:firstColumn="1" w:lastColumn="0" w:noHBand="0" w:noVBand="1"/>
      </w:tblPr>
      <w:tblGrid>
        <w:gridCol w:w="2963"/>
        <w:gridCol w:w="7097"/>
      </w:tblGrid>
      <w:tr w:rsidR="001A20B8" w14:paraId="455D1AB8" w14:textId="77777777" w:rsidTr="001A20B8">
        <w:trPr>
          <w:trHeight w:val="432"/>
        </w:trPr>
        <w:tc>
          <w:tcPr>
            <w:tcW w:w="2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9CDE0C" w14:textId="77777777" w:rsidR="001A20B8" w:rsidRDefault="001A20B8">
            <w:pPr>
              <w:pStyle w:val="NoSpacing"/>
              <w:spacing w:line="214" w:lineRule="atLeast"/>
              <w:rPr>
                <w:szCs w:val="20"/>
                <w:lang w:val="es-ES"/>
              </w:rPr>
            </w:pPr>
            <w:r>
              <w:rPr>
                <w:szCs w:val="20"/>
                <w:lang w:val="es-ES"/>
              </w:rPr>
              <w:t>Matrícula total de estudiantes:</w:t>
            </w:r>
          </w:p>
        </w:tc>
        <w:tc>
          <w:tcPr>
            <w:tcW w:w="71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3FF5499" w14:textId="77777777" w:rsidR="001A20B8" w:rsidRDefault="001A20B8">
            <w:pPr>
              <w:pStyle w:val="NoSpacing"/>
              <w:spacing w:line="214" w:lineRule="atLeast"/>
              <w:rPr>
                <w:szCs w:val="20"/>
                <w:lang w:val="es-ES"/>
              </w:rPr>
            </w:pPr>
            <w:r>
              <w:rPr>
                <w:szCs w:val="20"/>
                <w:lang w:val="es-ES"/>
              </w:rPr>
              <w:t>801</w:t>
            </w:r>
          </w:p>
        </w:tc>
      </w:tr>
      <w:tr w:rsidR="001A20B8" w14:paraId="6E2C70E9" w14:textId="77777777" w:rsidTr="001A20B8">
        <w:trPr>
          <w:trHeight w:val="432"/>
        </w:trPr>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D6D3F8" w14:textId="77777777" w:rsidR="001A20B8" w:rsidRDefault="001A20B8">
            <w:pPr>
              <w:pStyle w:val="NoSpacing"/>
              <w:spacing w:line="214" w:lineRule="atLeast"/>
              <w:rPr>
                <w:szCs w:val="20"/>
                <w:lang w:val="es-ES"/>
              </w:rPr>
            </w:pPr>
            <w:r>
              <w:rPr>
                <w:szCs w:val="20"/>
                <w:lang w:val="es-ES"/>
              </w:rPr>
              <w:t>Grados atendidos:</w:t>
            </w:r>
          </w:p>
        </w:tc>
        <w:tc>
          <w:tcPr>
            <w:tcW w:w="7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8EA3BE" w14:textId="77777777" w:rsidR="001A20B8" w:rsidRDefault="001A20B8">
            <w:pPr>
              <w:pStyle w:val="NoSpacing"/>
              <w:spacing w:line="214" w:lineRule="atLeast"/>
              <w:rPr>
                <w:szCs w:val="20"/>
                <w:lang w:val="es-ES"/>
              </w:rPr>
            </w:pPr>
            <w:r>
              <w:rPr>
                <w:szCs w:val="20"/>
                <w:lang w:val="es-ES"/>
              </w:rPr>
              <w:t>PreK-12</w:t>
            </w:r>
          </w:p>
        </w:tc>
      </w:tr>
      <w:tr w:rsidR="001A20B8" w14:paraId="7BA62143" w14:textId="77777777" w:rsidTr="001A20B8">
        <w:trPr>
          <w:trHeight w:val="432"/>
        </w:trPr>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F48006" w14:textId="77777777" w:rsidR="001A20B8" w:rsidRDefault="001A20B8">
            <w:pPr>
              <w:pStyle w:val="NoSpacing"/>
              <w:spacing w:line="214" w:lineRule="atLeast"/>
              <w:rPr>
                <w:szCs w:val="20"/>
                <w:lang w:val="es-ES"/>
              </w:rPr>
            </w:pPr>
            <w:r>
              <w:rPr>
                <w:szCs w:val="20"/>
                <w:lang w:val="es-ES"/>
              </w:rPr>
              <w:t>Número de escuelas:</w:t>
            </w:r>
          </w:p>
        </w:tc>
        <w:tc>
          <w:tcPr>
            <w:tcW w:w="7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E036E0" w14:textId="77777777" w:rsidR="001A20B8" w:rsidRDefault="001A20B8">
            <w:pPr>
              <w:pStyle w:val="NoSpacing"/>
              <w:spacing w:line="214" w:lineRule="atLeast"/>
              <w:rPr>
                <w:szCs w:val="20"/>
                <w:lang w:val="es-ES"/>
              </w:rPr>
            </w:pPr>
            <w:r>
              <w:rPr>
                <w:szCs w:val="20"/>
                <w:lang w:val="es-ES"/>
              </w:rPr>
              <w:t>3</w:t>
            </w:r>
          </w:p>
        </w:tc>
      </w:tr>
    </w:tbl>
    <w:p w14:paraId="2F570B24" w14:textId="77777777" w:rsidR="001A20B8" w:rsidRDefault="001A20B8" w:rsidP="001A20B8">
      <w:pPr>
        <w:spacing w:line="214" w:lineRule="atLeast"/>
        <w:rPr>
          <w:color w:val="000000"/>
          <w:szCs w:val="20"/>
        </w:rPr>
      </w:pPr>
      <w:r>
        <w:rPr>
          <w:color w:val="000000"/>
          <w:szCs w:val="20"/>
        </w:rPr>
        <w:t> </w:t>
      </w:r>
    </w:p>
    <w:p w14:paraId="39532B09" w14:textId="77777777" w:rsidR="001A20B8" w:rsidRDefault="001A20B8" w:rsidP="001A20B8">
      <w:pPr>
        <w:pStyle w:val="Heading2"/>
        <w:spacing w:line="214" w:lineRule="atLeast"/>
        <w:rPr>
          <w:iCs/>
          <w:color w:val="000000"/>
          <w:szCs w:val="20"/>
          <w:lang w:val="es-ES"/>
        </w:rPr>
      </w:pPr>
      <w:r>
        <w:rPr>
          <w:i w:val="0"/>
          <w:iCs/>
          <w:color w:val="000000"/>
          <w:szCs w:val="20"/>
          <w:lang w:val="es-ES"/>
        </w:rPr>
        <w:t>Financiación</w:t>
      </w:r>
    </w:p>
    <w:tbl>
      <w:tblPr>
        <w:tblW w:w="0" w:type="auto"/>
        <w:tblCellMar>
          <w:left w:w="0" w:type="dxa"/>
          <w:right w:w="0" w:type="dxa"/>
        </w:tblCellMar>
        <w:tblLook w:val="04A0" w:firstRow="1" w:lastRow="0" w:firstColumn="1" w:lastColumn="0" w:noHBand="0" w:noVBand="1"/>
      </w:tblPr>
      <w:tblGrid>
        <w:gridCol w:w="2963"/>
        <w:gridCol w:w="7097"/>
      </w:tblGrid>
      <w:tr w:rsidR="001A20B8" w14:paraId="4ABF1618" w14:textId="77777777" w:rsidTr="001A20B8">
        <w:trPr>
          <w:trHeight w:val="432"/>
        </w:trPr>
        <w:tc>
          <w:tcPr>
            <w:tcW w:w="29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A6D2A2" w14:textId="77777777" w:rsidR="001A20B8" w:rsidRDefault="001A20B8">
            <w:pPr>
              <w:pStyle w:val="NoSpacing"/>
              <w:spacing w:line="214" w:lineRule="atLeast"/>
              <w:rPr>
                <w:szCs w:val="20"/>
                <w:lang w:val="es-ES"/>
              </w:rPr>
            </w:pPr>
            <w:r>
              <w:rPr>
                <w:szCs w:val="20"/>
                <w:lang w:val="es-ES"/>
              </w:rPr>
              <w:t>ESSER 2.0 Fondos restantes:</w:t>
            </w:r>
          </w:p>
        </w:tc>
        <w:tc>
          <w:tcPr>
            <w:tcW w:w="71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8EB6CF1" w14:textId="77777777" w:rsidR="001A20B8" w:rsidRDefault="001A20B8">
            <w:pPr>
              <w:pStyle w:val="NoSpacing"/>
              <w:spacing w:line="214" w:lineRule="atLeast"/>
              <w:rPr>
                <w:szCs w:val="20"/>
                <w:lang w:val="es-ES"/>
              </w:rPr>
            </w:pPr>
            <w:r>
              <w:rPr>
                <w:szCs w:val="20"/>
                <w:lang w:val="es-ES"/>
              </w:rPr>
              <w:t>165,005.01</w:t>
            </w:r>
          </w:p>
        </w:tc>
      </w:tr>
      <w:tr w:rsidR="001A20B8" w14:paraId="2DECDD46" w14:textId="77777777" w:rsidTr="001A20B8">
        <w:trPr>
          <w:trHeight w:val="432"/>
        </w:trPr>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BF6792" w14:textId="77777777" w:rsidR="001A20B8" w:rsidRDefault="001A20B8">
            <w:pPr>
              <w:pStyle w:val="NoSpacing"/>
              <w:spacing w:line="214" w:lineRule="atLeast"/>
              <w:rPr>
                <w:szCs w:val="20"/>
                <w:lang w:val="es-ES"/>
              </w:rPr>
            </w:pPr>
            <w:r>
              <w:rPr>
                <w:szCs w:val="20"/>
                <w:lang w:val="es-ES"/>
              </w:rPr>
              <w:t>ESSER 3.0 Fondos restantes:</w:t>
            </w:r>
          </w:p>
        </w:tc>
        <w:tc>
          <w:tcPr>
            <w:tcW w:w="7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F4FF25" w14:textId="77777777" w:rsidR="001A20B8" w:rsidRDefault="001A20B8">
            <w:pPr>
              <w:pStyle w:val="NoSpacing"/>
              <w:spacing w:line="214" w:lineRule="atLeast"/>
              <w:rPr>
                <w:szCs w:val="20"/>
                <w:lang w:val="es-ES"/>
              </w:rPr>
            </w:pPr>
            <w:r>
              <w:rPr>
                <w:szCs w:val="20"/>
                <w:lang w:val="es-ES"/>
              </w:rPr>
              <w:t>1,749,915.66</w:t>
            </w:r>
          </w:p>
        </w:tc>
      </w:tr>
      <w:tr w:rsidR="001A20B8" w14:paraId="3882D0B2" w14:textId="77777777" w:rsidTr="001A20B8">
        <w:trPr>
          <w:trHeight w:val="432"/>
        </w:trPr>
        <w:tc>
          <w:tcPr>
            <w:tcW w:w="29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F18E0F" w14:textId="77777777" w:rsidR="001A20B8" w:rsidRDefault="001A20B8">
            <w:pPr>
              <w:pStyle w:val="NoSpacing"/>
              <w:spacing w:line="214" w:lineRule="atLeast"/>
              <w:rPr>
                <w:szCs w:val="20"/>
              </w:rPr>
            </w:pPr>
            <w:r>
              <w:rPr>
                <w:b/>
                <w:bCs/>
                <w:szCs w:val="20"/>
                <w:lang w:val="es-ES"/>
              </w:rPr>
              <w:t>Total de fondos restantes:</w:t>
            </w:r>
          </w:p>
        </w:tc>
        <w:tc>
          <w:tcPr>
            <w:tcW w:w="71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E3C82A" w14:textId="77777777" w:rsidR="001A20B8" w:rsidRDefault="001A20B8">
            <w:pPr>
              <w:pStyle w:val="NoSpacing"/>
              <w:spacing w:line="214" w:lineRule="atLeast"/>
              <w:rPr>
                <w:szCs w:val="20"/>
                <w:lang w:val="es-ES"/>
              </w:rPr>
            </w:pPr>
            <w:r>
              <w:rPr>
                <w:szCs w:val="20"/>
                <w:lang w:val="es-ES"/>
              </w:rPr>
              <w:t>1,914,920.67</w:t>
            </w:r>
          </w:p>
        </w:tc>
      </w:tr>
    </w:tbl>
    <w:p w14:paraId="0D8D038D" w14:textId="77777777" w:rsidR="001A20B8" w:rsidRDefault="001A20B8" w:rsidP="001A20B8">
      <w:pPr>
        <w:spacing w:after="160" w:line="214" w:lineRule="atLeast"/>
        <w:rPr>
          <w:color w:val="000000"/>
          <w:szCs w:val="20"/>
        </w:rPr>
      </w:pPr>
      <w:r>
        <w:rPr>
          <w:color w:val="000000"/>
          <w:szCs w:val="20"/>
          <w:shd w:val="clear" w:color="auto" w:fill="FFFF00"/>
        </w:rPr>
        <w:t> </w:t>
      </w:r>
    </w:p>
    <w:p w14:paraId="75CDE540" w14:textId="77777777" w:rsidR="001A20B8" w:rsidRDefault="001A20B8" w:rsidP="001A20B8">
      <w:pPr>
        <w:rPr>
          <w:rFonts w:ascii="Times New Roman" w:hAnsi="Times New Roman" w:cs="Times New Roman"/>
          <w:sz w:val="24"/>
          <w:szCs w:val="24"/>
        </w:rPr>
      </w:pPr>
      <w:r>
        <w:rPr>
          <w:color w:val="000000"/>
          <w:szCs w:val="20"/>
          <w:shd w:val="clear" w:color="auto" w:fill="FFFF00"/>
        </w:rPr>
        <w:br w:type="textWrapping" w:clear="all"/>
      </w:r>
    </w:p>
    <w:p w14:paraId="76E0CED1" w14:textId="77777777" w:rsidR="001A20B8" w:rsidRDefault="001A20B8" w:rsidP="001A20B8">
      <w:pPr>
        <w:spacing w:after="160" w:line="214" w:lineRule="atLeast"/>
        <w:rPr>
          <w:color w:val="000000"/>
          <w:szCs w:val="20"/>
        </w:rPr>
      </w:pPr>
      <w:r>
        <w:rPr>
          <w:color w:val="000000"/>
          <w:szCs w:val="20"/>
          <w:shd w:val="clear" w:color="auto" w:fill="FFFF00"/>
        </w:rPr>
        <w:t> </w:t>
      </w:r>
    </w:p>
    <w:p w14:paraId="296B30D2" w14:textId="77777777" w:rsidR="001A20B8" w:rsidRDefault="001A20B8" w:rsidP="001A20B8">
      <w:pPr>
        <w:pStyle w:val="Heading2"/>
        <w:spacing w:line="214" w:lineRule="atLeast"/>
        <w:rPr>
          <w:iCs/>
          <w:color w:val="000000"/>
          <w:szCs w:val="20"/>
          <w:lang w:val="es-ES"/>
        </w:rPr>
      </w:pPr>
      <w:r>
        <w:rPr>
          <w:i w:val="0"/>
          <w:iCs/>
          <w:color w:val="000000"/>
          <w:szCs w:val="20"/>
          <w:lang w:val="es-ES"/>
        </w:rPr>
        <w:t>Resumen del presupuesto</w:t>
      </w:r>
    </w:p>
    <w:tbl>
      <w:tblPr>
        <w:tblW w:w="5000" w:type="pct"/>
        <w:tblCellMar>
          <w:left w:w="0" w:type="dxa"/>
          <w:right w:w="0" w:type="dxa"/>
        </w:tblCellMar>
        <w:tblLook w:val="04A0" w:firstRow="1" w:lastRow="0" w:firstColumn="1" w:lastColumn="0" w:noHBand="0" w:noVBand="1"/>
      </w:tblPr>
      <w:tblGrid>
        <w:gridCol w:w="1494"/>
        <w:gridCol w:w="2982"/>
        <w:gridCol w:w="2802"/>
        <w:gridCol w:w="2782"/>
      </w:tblGrid>
      <w:tr w:rsidR="001A20B8" w14:paraId="636D8012" w14:textId="77777777" w:rsidTr="001A20B8">
        <w:trPr>
          <w:trHeight w:val="373"/>
        </w:trPr>
        <w:tc>
          <w:tcPr>
            <w:tcW w:w="1525" w:type="dxa"/>
            <w:tcBorders>
              <w:top w:val="single" w:sz="8" w:space="0" w:color="000000"/>
              <w:left w:val="single" w:sz="8" w:space="0" w:color="000000"/>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103CBCBD" w14:textId="77777777" w:rsidR="001A20B8" w:rsidRDefault="001A20B8">
            <w:pPr>
              <w:pStyle w:val="NoSpacing"/>
              <w:spacing w:line="214" w:lineRule="atLeast"/>
              <w:rPr>
                <w:szCs w:val="20"/>
              </w:rPr>
            </w:pPr>
            <w:r>
              <w:rPr>
                <w:b/>
                <w:bCs/>
                <w:szCs w:val="20"/>
              </w:rPr>
              <w:t> </w:t>
            </w:r>
          </w:p>
        </w:tc>
        <w:tc>
          <w:tcPr>
            <w:tcW w:w="3150" w:type="dxa"/>
            <w:tcBorders>
              <w:top w:val="single" w:sz="8" w:space="0" w:color="000000"/>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052146FA" w14:textId="77777777" w:rsidR="001A20B8" w:rsidRDefault="001A20B8">
            <w:pPr>
              <w:pStyle w:val="NoSpacing"/>
              <w:spacing w:line="214" w:lineRule="atLeast"/>
              <w:jc w:val="center"/>
              <w:rPr>
                <w:szCs w:val="20"/>
              </w:rPr>
            </w:pPr>
            <w:r>
              <w:rPr>
                <w:b/>
                <w:bCs/>
                <w:szCs w:val="20"/>
              </w:rPr>
              <w:t> </w:t>
            </w:r>
          </w:p>
        </w:tc>
        <w:tc>
          <w:tcPr>
            <w:tcW w:w="2994" w:type="dxa"/>
            <w:tcBorders>
              <w:top w:val="single" w:sz="8" w:space="0" w:color="000000"/>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68AC8DA7" w14:textId="77777777" w:rsidR="001A20B8" w:rsidRDefault="001A20B8">
            <w:pPr>
              <w:pStyle w:val="NoSpacing"/>
              <w:spacing w:line="214" w:lineRule="atLeast"/>
              <w:jc w:val="center"/>
              <w:rPr>
                <w:szCs w:val="20"/>
              </w:rPr>
            </w:pPr>
            <w:r>
              <w:rPr>
                <w:b/>
                <w:bCs/>
                <w:szCs w:val="20"/>
                <w:lang w:val="es-ES"/>
              </w:rPr>
              <w:t>ESSER 2.0 Fondos restantes</w:t>
            </w:r>
          </w:p>
        </w:tc>
        <w:tc>
          <w:tcPr>
            <w:tcW w:w="2946" w:type="dxa"/>
            <w:tcBorders>
              <w:top w:val="single" w:sz="8" w:space="0" w:color="000000"/>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3EC33FA5" w14:textId="77777777" w:rsidR="001A20B8" w:rsidRDefault="001A20B8">
            <w:pPr>
              <w:pStyle w:val="NoSpacing"/>
              <w:spacing w:line="214" w:lineRule="atLeast"/>
              <w:jc w:val="center"/>
              <w:rPr>
                <w:szCs w:val="20"/>
              </w:rPr>
            </w:pPr>
            <w:r>
              <w:rPr>
                <w:b/>
                <w:bCs/>
                <w:szCs w:val="20"/>
                <w:lang w:val="es-ES"/>
              </w:rPr>
              <w:t>ESSER 3.0 Fondos restantes</w:t>
            </w:r>
          </w:p>
        </w:tc>
      </w:tr>
      <w:tr w:rsidR="001A20B8" w14:paraId="50AC9E73" w14:textId="77777777" w:rsidTr="001A20B8">
        <w:trPr>
          <w:trHeight w:val="373"/>
        </w:trPr>
        <w:tc>
          <w:tcPr>
            <w:tcW w:w="152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D7184A" w14:textId="77777777" w:rsidR="001A20B8" w:rsidRDefault="001A20B8">
            <w:pPr>
              <w:pStyle w:val="NoSpacing"/>
              <w:spacing w:line="214" w:lineRule="atLeast"/>
              <w:rPr>
                <w:szCs w:val="20"/>
                <w:lang w:val="es-ES"/>
              </w:rPr>
            </w:pPr>
            <w:r>
              <w:rPr>
                <w:szCs w:val="20"/>
                <w:lang w:val="es-ES"/>
              </w:rPr>
              <w:lastRenderedPageBreak/>
              <w:t>Académicos</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CBC259" w14:textId="77777777" w:rsidR="001A20B8" w:rsidRDefault="001A20B8">
            <w:pPr>
              <w:pStyle w:val="NoSpacing"/>
              <w:spacing w:line="214" w:lineRule="atLeast"/>
              <w:rPr>
                <w:szCs w:val="20"/>
                <w:lang w:val="es-ES"/>
              </w:rPr>
            </w:pPr>
            <w:r>
              <w:rPr>
                <w:szCs w:val="20"/>
                <w:lang w:val="es-ES"/>
              </w:rPr>
              <w:t>Tutoría</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EBA6BA"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67F19C" w14:textId="77777777" w:rsidR="001A20B8" w:rsidRDefault="001A20B8">
            <w:pPr>
              <w:pStyle w:val="NoSpacing"/>
              <w:spacing w:line="214" w:lineRule="atLeast"/>
              <w:rPr>
                <w:szCs w:val="20"/>
              </w:rPr>
            </w:pPr>
            <w:r>
              <w:rPr>
                <w:szCs w:val="20"/>
              </w:rPr>
              <w:t> </w:t>
            </w:r>
          </w:p>
        </w:tc>
      </w:tr>
      <w:tr w:rsidR="001A20B8" w14:paraId="52F7A4A0"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09478523"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CB3DA6" w14:textId="77777777" w:rsidR="001A20B8" w:rsidRDefault="001A20B8">
            <w:pPr>
              <w:pStyle w:val="NoSpacing"/>
              <w:spacing w:line="214" w:lineRule="atLeast"/>
              <w:rPr>
                <w:szCs w:val="20"/>
                <w:lang w:val="es-ES"/>
              </w:rPr>
            </w:pPr>
            <w:r>
              <w:rPr>
                <w:szCs w:val="20"/>
                <w:lang w:val="es-ES"/>
              </w:rPr>
              <w:t>Programación de verano</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08CA0A"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3BDF70" w14:textId="77777777" w:rsidR="001A20B8" w:rsidRDefault="001A20B8">
            <w:pPr>
              <w:pStyle w:val="NoSpacing"/>
              <w:spacing w:line="214" w:lineRule="atLeast"/>
              <w:rPr>
                <w:szCs w:val="20"/>
                <w:lang w:val="es-ES"/>
              </w:rPr>
            </w:pPr>
            <w:r>
              <w:rPr>
                <w:szCs w:val="20"/>
                <w:lang w:val="es-ES"/>
              </w:rPr>
              <w:t>68,546.69</w:t>
            </w:r>
          </w:p>
        </w:tc>
      </w:tr>
      <w:tr w:rsidR="001A20B8" w14:paraId="6FDE0052"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01737F45"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E6382F" w14:textId="77777777" w:rsidR="001A20B8" w:rsidRDefault="001A20B8">
            <w:pPr>
              <w:pStyle w:val="NoSpacing"/>
              <w:spacing w:line="214" w:lineRule="atLeast"/>
              <w:rPr>
                <w:szCs w:val="20"/>
                <w:lang w:val="es-ES"/>
              </w:rPr>
            </w:pPr>
            <w:r>
              <w:rPr>
                <w:szCs w:val="20"/>
                <w:lang w:val="es-ES"/>
              </w:rPr>
              <w:t>Lectura temprana</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062CCF"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F1B5F3" w14:textId="77777777" w:rsidR="001A20B8" w:rsidRDefault="001A20B8">
            <w:pPr>
              <w:pStyle w:val="NoSpacing"/>
              <w:spacing w:line="214" w:lineRule="atLeast"/>
              <w:rPr>
                <w:szCs w:val="20"/>
              </w:rPr>
            </w:pPr>
            <w:r>
              <w:rPr>
                <w:szCs w:val="20"/>
              </w:rPr>
              <w:t> </w:t>
            </w:r>
          </w:p>
        </w:tc>
      </w:tr>
      <w:tr w:rsidR="001A20B8" w14:paraId="7F14A02B"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32BF29D9"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B53E93" w14:textId="77777777" w:rsidR="001A20B8" w:rsidRDefault="001A20B8">
            <w:pPr>
              <w:pStyle w:val="NoSpacing"/>
              <w:spacing w:line="214" w:lineRule="atLeast"/>
              <w:rPr>
                <w:szCs w:val="20"/>
                <w:lang w:val="es-ES"/>
              </w:rPr>
            </w:pPr>
            <w:r>
              <w:rPr>
                <w:szCs w:val="20"/>
                <w:lang w:val="es-ES"/>
              </w:rPr>
              <w:t>Intervencionistas</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2E77F3"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BC8A5A" w14:textId="77777777" w:rsidR="001A20B8" w:rsidRDefault="001A20B8">
            <w:pPr>
              <w:pStyle w:val="NoSpacing"/>
              <w:spacing w:line="214" w:lineRule="atLeast"/>
              <w:rPr>
                <w:szCs w:val="20"/>
                <w:lang w:val="es-ES"/>
              </w:rPr>
            </w:pPr>
            <w:r>
              <w:rPr>
                <w:szCs w:val="20"/>
                <w:lang w:val="es-ES"/>
              </w:rPr>
              <w:t>68,554.00</w:t>
            </w:r>
          </w:p>
        </w:tc>
      </w:tr>
      <w:tr w:rsidR="001A20B8" w14:paraId="5E7106B3"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55518D07"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9C25AD" w14:textId="77777777" w:rsidR="001A20B8" w:rsidRDefault="001A20B8">
            <w:pPr>
              <w:pStyle w:val="NoSpacing"/>
              <w:spacing w:line="214" w:lineRule="atLeast"/>
              <w:rPr>
                <w:szCs w:val="20"/>
                <w:lang w:val="es-ES"/>
              </w:rPr>
            </w:pPr>
            <w:r>
              <w:rPr>
                <w:szCs w:val="20"/>
                <w:lang w:val="es-ES"/>
              </w:rPr>
              <w:t>Otra cosa__________</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5E3968" w14:textId="77777777" w:rsidR="001A20B8" w:rsidRDefault="001A20B8">
            <w:pPr>
              <w:pStyle w:val="NoSpacing"/>
              <w:spacing w:line="214" w:lineRule="atLeast"/>
              <w:rPr>
                <w:szCs w:val="20"/>
              </w:rPr>
            </w:pPr>
            <w:r>
              <w:rPr>
                <w:szCs w:val="20"/>
              </w:rPr>
              <w:t> </w:t>
            </w:r>
          </w:p>
          <w:p w14:paraId="6ACD49A2" w14:textId="77777777" w:rsidR="001A20B8" w:rsidRDefault="001A20B8">
            <w:pPr>
              <w:pStyle w:val="NoSpacing"/>
              <w:spacing w:line="214" w:lineRule="atLeast"/>
              <w:rPr>
                <w:szCs w:val="20"/>
                <w:lang w:val="es-ES"/>
              </w:rPr>
            </w:pPr>
            <w:r>
              <w:rPr>
                <w:szCs w:val="20"/>
                <w:lang w:val="es-ES"/>
              </w:rPr>
              <w:t>4,279.44</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EB98B" w14:textId="77777777" w:rsidR="001A20B8" w:rsidRDefault="001A20B8">
            <w:pPr>
              <w:pStyle w:val="NoSpacing"/>
              <w:spacing w:line="214" w:lineRule="atLeast"/>
              <w:rPr>
                <w:szCs w:val="20"/>
                <w:lang w:val="es-ES"/>
              </w:rPr>
            </w:pPr>
            <w:r>
              <w:rPr>
                <w:szCs w:val="20"/>
                <w:lang w:val="es-ES"/>
              </w:rPr>
              <w:t>305,459.46</w:t>
            </w:r>
          </w:p>
        </w:tc>
      </w:tr>
      <w:tr w:rsidR="001A20B8" w14:paraId="09D0EF77"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311AEEE0"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4AC5CA" w14:textId="77777777" w:rsidR="001A20B8" w:rsidRDefault="001A20B8">
            <w:pPr>
              <w:pStyle w:val="NoSpacing"/>
              <w:spacing w:line="214" w:lineRule="atLeast"/>
              <w:rPr>
                <w:szCs w:val="20"/>
                <w:lang w:val="es-ES"/>
              </w:rPr>
            </w:pPr>
            <w:r>
              <w:rPr>
                <w:szCs w:val="20"/>
                <w:lang w:val="es-ES"/>
              </w:rPr>
              <w:t>Subtotal</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92BBFC" w14:textId="77777777" w:rsidR="001A20B8" w:rsidRDefault="001A20B8">
            <w:pPr>
              <w:pStyle w:val="NoSpacing"/>
              <w:spacing w:line="214" w:lineRule="atLeast"/>
              <w:rPr>
                <w:szCs w:val="20"/>
                <w:lang w:val="es-ES"/>
              </w:rPr>
            </w:pPr>
            <w:r>
              <w:rPr>
                <w:szCs w:val="20"/>
                <w:lang w:val="es-ES"/>
              </w:rPr>
              <w:t>4,279.44</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429814" w14:textId="77777777" w:rsidR="001A20B8" w:rsidRDefault="001A20B8">
            <w:pPr>
              <w:pStyle w:val="NoSpacing"/>
              <w:spacing w:line="214" w:lineRule="atLeast"/>
              <w:rPr>
                <w:szCs w:val="20"/>
                <w:lang w:val="es-ES"/>
              </w:rPr>
            </w:pPr>
            <w:r>
              <w:rPr>
                <w:szCs w:val="20"/>
                <w:lang w:val="es-ES"/>
              </w:rPr>
              <w:t>442,560.15</w:t>
            </w:r>
          </w:p>
        </w:tc>
      </w:tr>
      <w:tr w:rsidR="001A20B8" w14:paraId="7C774628" w14:textId="77777777" w:rsidTr="001A20B8">
        <w:trPr>
          <w:trHeight w:val="373"/>
        </w:trPr>
        <w:tc>
          <w:tcPr>
            <w:tcW w:w="1525" w:type="dxa"/>
            <w:tcBorders>
              <w:top w:val="nil"/>
              <w:left w:val="single" w:sz="8" w:space="0" w:color="000000"/>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2F7F648D" w14:textId="77777777" w:rsidR="001A20B8" w:rsidRDefault="001A20B8">
            <w:pPr>
              <w:pStyle w:val="NoSpacing"/>
              <w:spacing w:line="214" w:lineRule="atLeast"/>
              <w:rPr>
                <w:szCs w:val="20"/>
              </w:rPr>
            </w:pPr>
            <w:r>
              <w:rPr>
                <w:szCs w:val="20"/>
              </w:rPr>
              <w:t> </w:t>
            </w:r>
          </w:p>
        </w:tc>
        <w:tc>
          <w:tcPr>
            <w:tcW w:w="3150"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4541312A" w14:textId="77777777" w:rsidR="001A20B8" w:rsidRDefault="001A20B8">
            <w:pPr>
              <w:pStyle w:val="NoSpacing"/>
              <w:spacing w:line="214" w:lineRule="atLeast"/>
              <w:rPr>
                <w:szCs w:val="20"/>
              </w:rPr>
            </w:pPr>
            <w:r>
              <w:rPr>
                <w:szCs w:val="20"/>
              </w:rPr>
              <w:t> </w:t>
            </w:r>
          </w:p>
        </w:tc>
        <w:tc>
          <w:tcPr>
            <w:tcW w:w="2994"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7107FE15"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5AAB660F" w14:textId="77777777" w:rsidR="001A20B8" w:rsidRDefault="001A20B8">
            <w:pPr>
              <w:pStyle w:val="NoSpacing"/>
              <w:spacing w:line="214" w:lineRule="atLeast"/>
              <w:rPr>
                <w:szCs w:val="20"/>
              </w:rPr>
            </w:pPr>
            <w:r>
              <w:rPr>
                <w:szCs w:val="20"/>
              </w:rPr>
              <w:t> </w:t>
            </w:r>
          </w:p>
        </w:tc>
      </w:tr>
      <w:tr w:rsidR="001A20B8" w14:paraId="21FDFA60" w14:textId="77777777" w:rsidTr="001A20B8">
        <w:trPr>
          <w:trHeight w:val="373"/>
        </w:trPr>
        <w:tc>
          <w:tcPr>
            <w:tcW w:w="152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CB5E47" w14:textId="77777777" w:rsidR="001A20B8" w:rsidRDefault="001A20B8">
            <w:pPr>
              <w:pStyle w:val="NoSpacing"/>
              <w:spacing w:line="214" w:lineRule="atLeast"/>
              <w:rPr>
                <w:szCs w:val="20"/>
                <w:lang w:val="es-ES"/>
              </w:rPr>
            </w:pPr>
            <w:r>
              <w:rPr>
                <w:szCs w:val="20"/>
                <w:lang w:val="es-ES"/>
              </w:rPr>
              <w:t>Preparación del estudiante</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EC7314" w14:textId="77777777" w:rsidR="001A20B8" w:rsidRDefault="001A20B8">
            <w:pPr>
              <w:pStyle w:val="NoSpacing"/>
              <w:spacing w:line="214" w:lineRule="atLeast"/>
              <w:rPr>
                <w:szCs w:val="20"/>
                <w:lang w:val="es-ES"/>
              </w:rPr>
            </w:pPr>
            <w:r>
              <w:rPr>
                <w:szCs w:val="20"/>
                <w:lang w:val="es-ES"/>
              </w:rPr>
              <w:t>AP y cursos de doble crédito / inscripción</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07A355"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1197EC" w14:textId="77777777" w:rsidR="001A20B8" w:rsidRDefault="001A20B8">
            <w:pPr>
              <w:pStyle w:val="NoSpacing"/>
              <w:spacing w:line="214" w:lineRule="atLeast"/>
              <w:rPr>
                <w:szCs w:val="20"/>
              </w:rPr>
            </w:pPr>
            <w:r>
              <w:rPr>
                <w:szCs w:val="20"/>
              </w:rPr>
              <w:t> </w:t>
            </w:r>
          </w:p>
        </w:tc>
      </w:tr>
      <w:tr w:rsidR="001A20B8" w14:paraId="051AB051"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277AECD9"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DD0E9C" w14:textId="77777777" w:rsidR="001A20B8" w:rsidRDefault="001A20B8">
            <w:pPr>
              <w:pStyle w:val="NoSpacing"/>
              <w:spacing w:line="214" w:lineRule="atLeast"/>
              <w:rPr>
                <w:szCs w:val="20"/>
                <w:lang w:val="es-ES"/>
              </w:rPr>
            </w:pPr>
            <w:r>
              <w:rPr>
                <w:szCs w:val="20"/>
                <w:lang w:val="es-ES"/>
              </w:rPr>
              <w:t>Innovación en la escuela secundaria</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863EFB"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2AE187" w14:textId="77777777" w:rsidR="001A20B8" w:rsidRDefault="001A20B8">
            <w:pPr>
              <w:pStyle w:val="NoSpacing"/>
              <w:spacing w:line="214" w:lineRule="atLeast"/>
              <w:rPr>
                <w:szCs w:val="20"/>
              </w:rPr>
            </w:pPr>
            <w:r>
              <w:rPr>
                <w:szCs w:val="20"/>
              </w:rPr>
              <w:t> </w:t>
            </w:r>
          </w:p>
        </w:tc>
      </w:tr>
      <w:tr w:rsidR="001A20B8" w14:paraId="0E3F8F0A"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6BEAD6B6"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3BE24E" w14:textId="77777777" w:rsidR="001A20B8" w:rsidRDefault="001A20B8">
            <w:pPr>
              <w:pStyle w:val="NoSpacing"/>
              <w:spacing w:line="214" w:lineRule="atLeast"/>
              <w:rPr>
                <w:szCs w:val="20"/>
                <w:lang w:val="es-ES"/>
              </w:rPr>
            </w:pPr>
            <w:r>
              <w:rPr>
                <w:szCs w:val="20"/>
                <w:lang w:val="es-ES"/>
              </w:rPr>
              <w:t>Asesoría Académica</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658A40"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7590C4" w14:textId="77777777" w:rsidR="001A20B8" w:rsidRDefault="001A20B8">
            <w:pPr>
              <w:pStyle w:val="NoSpacing"/>
              <w:spacing w:line="214" w:lineRule="atLeast"/>
              <w:rPr>
                <w:szCs w:val="20"/>
              </w:rPr>
            </w:pPr>
            <w:r>
              <w:rPr>
                <w:szCs w:val="20"/>
              </w:rPr>
              <w:t> </w:t>
            </w:r>
          </w:p>
        </w:tc>
      </w:tr>
      <w:tr w:rsidR="001A20B8" w14:paraId="4740D0B4"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375F3253"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1A5CC3" w14:textId="77777777" w:rsidR="001A20B8" w:rsidRDefault="001A20B8">
            <w:pPr>
              <w:pStyle w:val="NoSpacing"/>
              <w:spacing w:line="214" w:lineRule="atLeast"/>
              <w:rPr>
                <w:szCs w:val="20"/>
                <w:lang w:val="es-ES"/>
              </w:rPr>
            </w:pPr>
            <w:r>
              <w:rPr>
                <w:szCs w:val="20"/>
                <w:lang w:val="es-ES"/>
              </w:rPr>
              <w:t>Poblaciones Especiales</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659109" w14:textId="77777777" w:rsidR="001A20B8" w:rsidRDefault="001A20B8">
            <w:pPr>
              <w:pStyle w:val="NoSpacing"/>
              <w:spacing w:line="214" w:lineRule="atLeast"/>
              <w:rPr>
                <w:szCs w:val="20"/>
                <w:lang w:val="es-ES"/>
              </w:rPr>
            </w:pPr>
            <w:r>
              <w:rPr>
                <w:szCs w:val="20"/>
                <w:lang w:val="es-ES"/>
              </w:rPr>
              <w:t>59,877.71</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79EB33" w14:textId="77777777" w:rsidR="001A20B8" w:rsidRDefault="001A20B8">
            <w:pPr>
              <w:pStyle w:val="NoSpacing"/>
              <w:spacing w:line="214" w:lineRule="atLeast"/>
              <w:rPr>
                <w:szCs w:val="20"/>
                <w:lang w:val="es-ES"/>
              </w:rPr>
            </w:pPr>
            <w:r>
              <w:rPr>
                <w:szCs w:val="20"/>
                <w:lang w:val="es-ES"/>
              </w:rPr>
              <w:t>62,322.07</w:t>
            </w:r>
          </w:p>
        </w:tc>
      </w:tr>
      <w:tr w:rsidR="001A20B8" w14:paraId="7F5BC1D6"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1C9366AE"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D6DA28" w14:textId="77777777" w:rsidR="001A20B8" w:rsidRDefault="001A20B8">
            <w:pPr>
              <w:pStyle w:val="NoSpacing"/>
              <w:spacing w:line="214" w:lineRule="atLeast"/>
              <w:rPr>
                <w:szCs w:val="20"/>
                <w:lang w:val="es-ES"/>
              </w:rPr>
            </w:pPr>
            <w:r>
              <w:rPr>
                <w:szCs w:val="20"/>
                <w:lang w:val="es-ES"/>
              </w:rPr>
              <w:t>Salud mental</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7C0C2C"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EBAD15" w14:textId="77777777" w:rsidR="001A20B8" w:rsidRDefault="001A20B8">
            <w:pPr>
              <w:pStyle w:val="NoSpacing"/>
              <w:spacing w:line="214" w:lineRule="atLeast"/>
              <w:rPr>
                <w:szCs w:val="20"/>
              </w:rPr>
            </w:pPr>
            <w:r>
              <w:rPr>
                <w:szCs w:val="20"/>
              </w:rPr>
              <w:t> </w:t>
            </w:r>
          </w:p>
        </w:tc>
      </w:tr>
      <w:tr w:rsidR="001A20B8" w14:paraId="578EF83E"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7E282C52"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39301C" w14:textId="77777777" w:rsidR="001A20B8" w:rsidRDefault="001A20B8">
            <w:pPr>
              <w:pStyle w:val="NoSpacing"/>
              <w:spacing w:line="214" w:lineRule="atLeast"/>
              <w:rPr>
                <w:szCs w:val="20"/>
                <w:lang w:val="es-ES"/>
              </w:rPr>
            </w:pPr>
            <w:r>
              <w:rPr>
                <w:szCs w:val="20"/>
                <w:lang w:val="es-ES"/>
              </w:rPr>
              <w:t>Otra cosa__________</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F798C9"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AD1F1A" w14:textId="77777777" w:rsidR="001A20B8" w:rsidRDefault="001A20B8">
            <w:pPr>
              <w:pStyle w:val="NoSpacing"/>
              <w:spacing w:line="214" w:lineRule="atLeast"/>
              <w:rPr>
                <w:szCs w:val="20"/>
                <w:lang w:val="es-ES"/>
              </w:rPr>
            </w:pPr>
            <w:r>
              <w:rPr>
                <w:szCs w:val="20"/>
                <w:lang w:val="es-ES"/>
              </w:rPr>
              <w:t>440,453.47</w:t>
            </w:r>
          </w:p>
        </w:tc>
      </w:tr>
      <w:tr w:rsidR="001A20B8" w14:paraId="2385A920"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22D64D86"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68CFD8" w14:textId="77777777" w:rsidR="001A20B8" w:rsidRDefault="001A20B8">
            <w:pPr>
              <w:pStyle w:val="NoSpacing"/>
              <w:spacing w:line="214" w:lineRule="atLeast"/>
              <w:rPr>
                <w:szCs w:val="20"/>
                <w:lang w:val="es-ES"/>
              </w:rPr>
            </w:pPr>
            <w:r>
              <w:rPr>
                <w:szCs w:val="20"/>
                <w:lang w:val="es-ES"/>
              </w:rPr>
              <w:t>Subtotal</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FA53DB" w14:textId="77777777" w:rsidR="001A20B8" w:rsidRDefault="001A20B8">
            <w:pPr>
              <w:pStyle w:val="NoSpacing"/>
              <w:spacing w:line="214" w:lineRule="atLeast"/>
              <w:rPr>
                <w:szCs w:val="20"/>
                <w:lang w:val="es-ES"/>
              </w:rPr>
            </w:pPr>
            <w:r>
              <w:rPr>
                <w:szCs w:val="20"/>
                <w:lang w:val="es-ES"/>
              </w:rPr>
              <w:t>59,877.71</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6FCFD9" w14:textId="77777777" w:rsidR="001A20B8" w:rsidRDefault="001A20B8">
            <w:pPr>
              <w:pStyle w:val="NoSpacing"/>
              <w:spacing w:line="214" w:lineRule="atLeast"/>
              <w:rPr>
                <w:szCs w:val="20"/>
                <w:lang w:val="es-ES"/>
              </w:rPr>
            </w:pPr>
            <w:r>
              <w:rPr>
                <w:szCs w:val="20"/>
                <w:lang w:val="es-ES"/>
              </w:rPr>
              <w:t>502,775.54</w:t>
            </w:r>
          </w:p>
        </w:tc>
      </w:tr>
      <w:tr w:rsidR="001A20B8" w14:paraId="0AEDEEF5" w14:textId="77777777" w:rsidTr="001A20B8">
        <w:trPr>
          <w:trHeight w:val="373"/>
        </w:trPr>
        <w:tc>
          <w:tcPr>
            <w:tcW w:w="1525" w:type="dxa"/>
            <w:tcBorders>
              <w:top w:val="nil"/>
              <w:left w:val="single" w:sz="8" w:space="0" w:color="000000"/>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59B5FCAD" w14:textId="77777777" w:rsidR="001A20B8" w:rsidRDefault="001A20B8">
            <w:pPr>
              <w:pStyle w:val="NoSpacing"/>
              <w:spacing w:line="214" w:lineRule="atLeast"/>
              <w:rPr>
                <w:szCs w:val="20"/>
              </w:rPr>
            </w:pPr>
            <w:r>
              <w:rPr>
                <w:szCs w:val="20"/>
              </w:rPr>
              <w:t> </w:t>
            </w:r>
          </w:p>
        </w:tc>
        <w:tc>
          <w:tcPr>
            <w:tcW w:w="3150"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35AB60B3" w14:textId="77777777" w:rsidR="001A20B8" w:rsidRDefault="001A20B8">
            <w:pPr>
              <w:pStyle w:val="NoSpacing"/>
              <w:spacing w:line="214" w:lineRule="atLeast"/>
              <w:rPr>
                <w:szCs w:val="20"/>
              </w:rPr>
            </w:pPr>
            <w:r>
              <w:rPr>
                <w:szCs w:val="20"/>
              </w:rPr>
              <w:t> </w:t>
            </w:r>
          </w:p>
        </w:tc>
        <w:tc>
          <w:tcPr>
            <w:tcW w:w="2994"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0AA9836E"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2423C29E" w14:textId="77777777" w:rsidR="001A20B8" w:rsidRDefault="001A20B8">
            <w:pPr>
              <w:pStyle w:val="NoSpacing"/>
              <w:spacing w:line="214" w:lineRule="atLeast"/>
              <w:rPr>
                <w:szCs w:val="20"/>
              </w:rPr>
            </w:pPr>
            <w:r>
              <w:rPr>
                <w:szCs w:val="20"/>
              </w:rPr>
              <w:t> </w:t>
            </w:r>
          </w:p>
        </w:tc>
      </w:tr>
      <w:tr w:rsidR="001A20B8" w14:paraId="179A214F" w14:textId="77777777" w:rsidTr="001A20B8">
        <w:trPr>
          <w:trHeight w:val="373"/>
        </w:trPr>
        <w:tc>
          <w:tcPr>
            <w:tcW w:w="152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F4F263" w14:textId="77777777" w:rsidR="001A20B8" w:rsidRDefault="001A20B8">
            <w:pPr>
              <w:pStyle w:val="NoSpacing"/>
              <w:spacing w:line="214" w:lineRule="atLeast"/>
              <w:rPr>
                <w:szCs w:val="20"/>
                <w:lang w:val="es-ES"/>
              </w:rPr>
            </w:pPr>
            <w:r>
              <w:rPr>
                <w:szCs w:val="20"/>
                <w:lang w:val="es-ES"/>
              </w:rPr>
              <w:t>Educadores</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03A173" w14:textId="77777777" w:rsidR="001A20B8" w:rsidRDefault="001A20B8">
            <w:pPr>
              <w:pStyle w:val="NoSpacing"/>
              <w:spacing w:line="214" w:lineRule="atLeast"/>
              <w:rPr>
                <w:szCs w:val="20"/>
                <w:lang w:val="es-ES"/>
              </w:rPr>
            </w:pPr>
            <w:r>
              <w:rPr>
                <w:szCs w:val="20"/>
                <w:lang w:val="es-ES"/>
              </w:rPr>
              <w:t>Retención estratégica de maestros</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557851" w14:textId="77777777" w:rsidR="001A20B8" w:rsidRDefault="001A20B8">
            <w:pPr>
              <w:pStyle w:val="NoSpacing"/>
              <w:spacing w:line="214" w:lineRule="atLeast"/>
              <w:jc w:val="center"/>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BF59676" w14:textId="77777777" w:rsidR="001A20B8" w:rsidRDefault="001A20B8">
            <w:pPr>
              <w:pStyle w:val="NoSpacing"/>
              <w:spacing w:line="214" w:lineRule="atLeast"/>
              <w:rPr>
                <w:szCs w:val="20"/>
              </w:rPr>
            </w:pPr>
            <w:r>
              <w:rPr>
                <w:szCs w:val="20"/>
              </w:rPr>
              <w:t> </w:t>
            </w:r>
          </w:p>
        </w:tc>
      </w:tr>
      <w:tr w:rsidR="001A20B8" w14:paraId="4AF78D18"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0EFC91AB"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6D08EB" w14:textId="77777777" w:rsidR="001A20B8" w:rsidRDefault="001A20B8">
            <w:pPr>
              <w:pStyle w:val="NoSpacing"/>
              <w:spacing w:line="214" w:lineRule="atLeast"/>
              <w:rPr>
                <w:szCs w:val="20"/>
                <w:lang w:val="es-ES"/>
              </w:rPr>
            </w:pPr>
            <w:r>
              <w:rPr>
                <w:szCs w:val="20"/>
                <w:lang w:val="es-ES"/>
              </w:rPr>
              <w:t>Cultiva el tuyo propio</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FBD0E7"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89E3DE" w14:textId="77777777" w:rsidR="001A20B8" w:rsidRDefault="001A20B8">
            <w:pPr>
              <w:pStyle w:val="NoSpacing"/>
              <w:spacing w:line="214" w:lineRule="atLeast"/>
              <w:rPr>
                <w:szCs w:val="20"/>
              </w:rPr>
            </w:pPr>
            <w:r>
              <w:rPr>
                <w:szCs w:val="20"/>
              </w:rPr>
              <w:t> </w:t>
            </w:r>
          </w:p>
        </w:tc>
      </w:tr>
      <w:tr w:rsidR="001A20B8" w14:paraId="4191E035"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15ECBC92"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0AE144" w14:textId="77777777" w:rsidR="001A20B8" w:rsidRDefault="001A20B8">
            <w:pPr>
              <w:pStyle w:val="NoSpacing"/>
              <w:spacing w:line="214" w:lineRule="atLeast"/>
              <w:rPr>
                <w:szCs w:val="20"/>
                <w:lang w:val="es-ES"/>
              </w:rPr>
            </w:pPr>
            <w:r>
              <w:rPr>
                <w:szCs w:val="20"/>
                <w:lang w:val="es-ES"/>
              </w:rPr>
              <w:t>Reducción del tamaño de la clase</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70B855" w14:textId="77777777" w:rsidR="001A20B8" w:rsidRDefault="001A20B8">
            <w:pPr>
              <w:pStyle w:val="NoSpacing"/>
              <w:spacing w:line="214" w:lineRule="atLeast"/>
              <w:rPr>
                <w:szCs w:val="20"/>
                <w:lang w:val="es-ES"/>
              </w:rPr>
            </w:pPr>
            <w:r>
              <w:rPr>
                <w:szCs w:val="20"/>
                <w:lang w:val="es-ES"/>
              </w:rPr>
              <w:t>1,784.04</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5C6B6C" w14:textId="77777777" w:rsidR="001A20B8" w:rsidRDefault="001A20B8">
            <w:pPr>
              <w:pStyle w:val="NoSpacing"/>
              <w:spacing w:line="214" w:lineRule="atLeast"/>
              <w:rPr>
                <w:szCs w:val="20"/>
                <w:lang w:val="es-ES"/>
              </w:rPr>
            </w:pPr>
            <w:r>
              <w:rPr>
                <w:szCs w:val="20"/>
                <w:lang w:val="es-ES"/>
              </w:rPr>
              <w:t>357,036.32</w:t>
            </w:r>
          </w:p>
        </w:tc>
      </w:tr>
      <w:tr w:rsidR="001A20B8" w14:paraId="15D65192"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14532028"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055C45" w14:textId="77777777" w:rsidR="001A20B8" w:rsidRDefault="001A20B8">
            <w:pPr>
              <w:pStyle w:val="NoSpacing"/>
              <w:spacing w:line="214" w:lineRule="atLeast"/>
              <w:rPr>
                <w:szCs w:val="20"/>
                <w:lang w:val="es-ES"/>
              </w:rPr>
            </w:pPr>
            <w:r>
              <w:rPr>
                <w:szCs w:val="20"/>
                <w:lang w:val="es-ES"/>
              </w:rPr>
              <w:t>Otra cosa__________</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B1B6AE" w14:textId="77777777" w:rsidR="001A20B8" w:rsidRDefault="001A20B8">
            <w:pPr>
              <w:pStyle w:val="NoSpacing"/>
              <w:spacing w:line="214" w:lineRule="atLeast"/>
              <w:rPr>
                <w:szCs w:val="20"/>
                <w:lang w:val="es-ES"/>
              </w:rPr>
            </w:pPr>
            <w:r>
              <w:rPr>
                <w:szCs w:val="20"/>
                <w:lang w:val="es-ES"/>
              </w:rPr>
              <w:t>18,531.63</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BA1576" w14:textId="77777777" w:rsidR="001A20B8" w:rsidRDefault="001A20B8">
            <w:pPr>
              <w:pStyle w:val="NoSpacing"/>
              <w:spacing w:line="214" w:lineRule="atLeast"/>
              <w:rPr>
                <w:szCs w:val="20"/>
                <w:lang w:val="es-ES"/>
              </w:rPr>
            </w:pPr>
            <w:r>
              <w:rPr>
                <w:szCs w:val="20"/>
                <w:lang w:val="es-ES"/>
              </w:rPr>
              <w:t>28,204.00</w:t>
            </w:r>
          </w:p>
        </w:tc>
      </w:tr>
      <w:tr w:rsidR="001A20B8" w14:paraId="246B5F2B"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5A0411B3"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27DAB0" w14:textId="77777777" w:rsidR="001A20B8" w:rsidRDefault="001A20B8">
            <w:pPr>
              <w:pStyle w:val="NoSpacing"/>
              <w:spacing w:line="214" w:lineRule="atLeast"/>
              <w:rPr>
                <w:szCs w:val="20"/>
                <w:lang w:val="es-ES"/>
              </w:rPr>
            </w:pPr>
            <w:r>
              <w:rPr>
                <w:szCs w:val="20"/>
                <w:lang w:val="es-ES"/>
              </w:rPr>
              <w:t>Subtotal</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FD89E6" w14:textId="77777777" w:rsidR="001A20B8" w:rsidRDefault="001A20B8">
            <w:pPr>
              <w:pStyle w:val="NoSpacing"/>
              <w:spacing w:line="214" w:lineRule="atLeast"/>
              <w:rPr>
                <w:szCs w:val="20"/>
                <w:lang w:val="es-ES"/>
              </w:rPr>
            </w:pPr>
            <w:r>
              <w:rPr>
                <w:szCs w:val="20"/>
                <w:lang w:val="es-ES"/>
              </w:rPr>
              <w:t>20,315.67</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A00EF9" w14:textId="77777777" w:rsidR="001A20B8" w:rsidRDefault="001A20B8">
            <w:pPr>
              <w:pStyle w:val="NoSpacing"/>
              <w:spacing w:line="214" w:lineRule="atLeast"/>
              <w:rPr>
                <w:szCs w:val="20"/>
                <w:lang w:val="es-ES"/>
              </w:rPr>
            </w:pPr>
            <w:r>
              <w:rPr>
                <w:szCs w:val="20"/>
                <w:lang w:val="es-ES"/>
              </w:rPr>
              <w:t>385,240.32</w:t>
            </w:r>
          </w:p>
        </w:tc>
      </w:tr>
      <w:tr w:rsidR="001A20B8" w14:paraId="62BAD02F" w14:textId="77777777" w:rsidTr="001A20B8">
        <w:trPr>
          <w:trHeight w:val="373"/>
        </w:trPr>
        <w:tc>
          <w:tcPr>
            <w:tcW w:w="1525" w:type="dxa"/>
            <w:tcBorders>
              <w:top w:val="nil"/>
              <w:left w:val="single" w:sz="8" w:space="0" w:color="000000"/>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462EC013" w14:textId="77777777" w:rsidR="001A20B8" w:rsidRDefault="001A20B8">
            <w:pPr>
              <w:pStyle w:val="NoSpacing"/>
              <w:spacing w:line="214" w:lineRule="atLeast"/>
              <w:rPr>
                <w:szCs w:val="20"/>
              </w:rPr>
            </w:pPr>
            <w:r>
              <w:rPr>
                <w:szCs w:val="20"/>
              </w:rPr>
              <w:t> </w:t>
            </w:r>
          </w:p>
        </w:tc>
        <w:tc>
          <w:tcPr>
            <w:tcW w:w="3150"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0A8B6F60" w14:textId="77777777" w:rsidR="001A20B8" w:rsidRDefault="001A20B8">
            <w:pPr>
              <w:pStyle w:val="NoSpacing"/>
              <w:spacing w:line="214" w:lineRule="atLeast"/>
              <w:rPr>
                <w:szCs w:val="20"/>
              </w:rPr>
            </w:pPr>
            <w:r>
              <w:rPr>
                <w:szCs w:val="20"/>
              </w:rPr>
              <w:t> </w:t>
            </w:r>
          </w:p>
        </w:tc>
        <w:tc>
          <w:tcPr>
            <w:tcW w:w="2994"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223C5A84"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00694CFA" w14:textId="77777777" w:rsidR="001A20B8" w:rsidRDefault="001A20B8">
            <w:pPr>
              <w:pStyle w:val="NoSpacing"/>
              <w:spacing w:line="214" w:lineRule="atLeast"/>
              <w:rPr>
                <w:szCs w:val="20"/>
              </w:rPr>
            </w:pPr>
            <w:r>
              <w:rPr>
                <w:szCs w:val="20"/>
              </w:rPr>
              <w:t> </w:t>
            </w:r>
          </w:p>
        </w:tc>
      </w:tr>
      <w:tr w:rsidR="001A20B8" w14:paraId="4F83FFF2" w14:textId="77777777" w:rsidTr="001A20B8">
        <w:trPr>
          <w:trHeight w:val="373"/>
        </w:trPr>
        <w:tc>
          <w:tcPr>
            <w:tcW w:w="152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D19236" w14:textId="77777777" w:rsidR="001A20B8" w:rsidRDefault="001A20B8">
            <w:pPr>
              <w:pStyle w:val="NoSpacing"/>
              <w:spacing w:line="214" w:lineRule="atLeast"/>
              <w:rPr>
                <w:szCs w:val="20"/>
                <w:lang w:val="es-ES"/>
              </w:rPr>
            </w:pPr>
            <w:r>
              <w:rPr>
                <w:szCs w:val="20"/>
                <w:lang w:val="es-ES"/>
              </w:rPr>
              <w:t>Cimientos</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E30281" w14:textId="77777777" w:rsidR="001A20B8" w:rsidRDefault="001A20B8">
            <w:pPr>
              <w:pStyle w:val="NoSpacing"/>
              <w:spacing w:line="214" w:lineRule="atLeast"/>
              <w:rPr>
                <w:szCs w:val="20"/>
                <w:lang w:val="es-ES"/>
              </w:rPr>
            </w:pPr>
            <w:r>
              <w:rPr>
                <w:szCs w:val="20"/>
                <w:lang w:val="es-ES"/>
              </w:rPr>
              <w:t>Tecnología</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E3BD04" w14:textId="77777777" w:rsidR="001A20B8" w:rsidRDefault="001A20B8">
            <w:pPr>
              <w:pStyle w:val="NoSpacing"/>
              <w:spacing w:line="214" w:lineRule="atLeast"/>
              <w:jc w:val="center"/>
              <w:rPr>
                <w:szCs w:val="20"/>
                <w:lang w:val="es-ES"/>
              </w:rPr>
            </w:pPr>
            <w:r>
              <w:rPr>
                <w:szCs w:val="20"/>
                <w:lang w:val="es-ES"/>
              </w:rPr>
              <w:t>47,200.92</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D73E76" w14:textId="77777777" w:rsidR="001A20B8" w:rsidRDefault="001A20B8">
            <w:pPr>
              <w:pStyle w:val="NoSpacing"/>
              <w:spacing w:line="214" w:lineRule="atLeast"/>
              <w:rPr>
                <w:szCs w:val="20"/>
                <w:lang w:val="es-ES"/>
              </w:rPr>
            </w:pPr>
            <w:r>
              <w:rPr>
                <w:szCs w:val="20"/>
                <w:lang w:val="es-ES"/>
              </w:rPr>
              <w:t>80,000.00</w:t>
            </w:r>
          </w:p>
        </w:tc>
      </w:tr>
      <w:tr w:rsidR="001A20B8" w14:paraId="32BF0201"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15FEC0E8"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3B3D86" w14:textId="77777777" w:rsidR="001A20B8" w:rsidRDefault="001A20B8">
            <w:pPr>
              <w:pStyle w:val="NoSpacing"/>
              <w:spacing w:line="214" w:lineRule="atLeast"/>
              <w:rPr>
                <w:szCs w:val="20"/>
                <w:lang w:val="es-ES"/>
              </w:rPr>
            </w:pPr>
            <w:r>
              <w:rPr>
                <w:szCs w:val="20"/>
                <w:lang w:val="es-ES"/>
              </w:rPr>
              <w:t>Internet de alta velocidad</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B43531"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6967C7" w14:textId="77777777" w:rsidR="001A20B8" w:rsidRDefault="001A20B8">
            <w:pPr>
              <w:pStyle w:val="NoSpacing"/>
              <w:spacing w:line="214" w:lineRule="atLeast"/>
              <w:rPr>
                <w:szCs w:val="20"/>
              </w:rPr>
            </w:pPr>
            <w:r>
              <w:rPr>
                <w:szCs w:val="20"/>
              </w:rPr>
              <w:t> </w:t>
            </w:r>
          </w:p>
        </w:tc>
      </w:tr>
      <w:tr w:rsidR="001A20B8" w14:paraId="47B7A3DD"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64BCA97E"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BF2B67" w14:textId="77777777" w:rsidR="001A20B8" w:rsidRDefault="001A20B8">
            <w:pPr>
              <w:pStyle w:val="NoSpacing"/>
              <w:spacing w:line="214" w:lineRule="atLeast"/>
              <w:rPr>
                <w:szCs w:val="20"/>
                <w:lang w:val="es-ES"/>
              </w:rPr>
            </w:pPr>
            <w:r>
              <w:rPr>
                <w:szCs w:val="20"/>
                <w:lang w:val="es-ES"/>
              </w:rPr>
              <w:t>Espacio Académico (instalaciones)</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F0E616"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B7A166" w14:textId="77777777" w:rsidR="001A20B8" w:rsidRDefault="001A20B8">
            <w:pPr>
              <w:pStyle w:val="NoSpacing"/>
              <w:spacing w:line="214" w:lineRule="atLeast"/>
              <w:rPr>
                <w:szCs w:val="20"/>
                <w:lang w:val="es-ES"/>
              </w:rPr>
            </w:pPr>
            <w:r>
              <w:rPr>
                <w:szCs w:val="20"/>
                <w:lang w:val="es-ES"/>
              </w:rPr>
              <w:t>262,450.00</w:t>
            </w:r>
          </w:p>
        </w:tc>
      </w:tr>
      <w:tr w:rsidR="001A20B8" w14:paraId="4825D5D5"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6B163F02"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7C14E1" w14:textId="77777777" w:rsidR="001A20B8" w:rsidRDefault="001A20B8">
            <w:pPr>
              <w:pStyle w:val="NoSpacing"/>
              <w:spacing w:line="214" w:lineRule="atLeast"/>
              <w:rPr>
                <w:szCs w:val="20"/>
                <w:lang w:val="es-ES"/>
              </w:rPr>
            </w:pPr>
            <w:r>
              <w:rPr>
                <w:szCs w:val="20"/>
                <w:lang w:val="es-ES"/>
              </w:rPr>
              <w:t>Auditoría y presentación de informes</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39DDF8"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0551F4" w14:textId="77777777" w:rsidR="001A20B8" w:rsidRDefault="001A20B8">
            <w:pPr>
              <w:pStyle w:val="NoSpacing"/>
              <w:spacing w:line="214" w:lineRule="atLeast"/>
              <w:rPr>
                <w:szCs w:val="20"/>
                <w:lang w:val="es-ES"/>
              </w:rPr>
            </w:pPr>
            <w:r>
              <w:rPr>
                <w:szCs w:val="20"/>
                <w:lang w:val="es-ES"/>
              </w:rPr>
              <w:t>57,901.34</w:t>
            </w:r>
          </w:p>
        </w:tc>
      </w:tr>
      <w:tr w:rsidR="001A20B8" w14:paraId="58B96FD3"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6E891E33"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5871DB" w14:textId="77777777" w:rsidR="001A20B8" w:rsidRDefault="001A20B8">
            <w:pPr>
              <w:pStyle w:val="NoSpacing"/>
              <w:spacing w:line="214" w:lineRule="atLeast"/>
              <w:rPr>
                <w:szCs w:val="20"/>
                <w:lang w:val="es-ES"/>
              </w:rPr>
            </w:pPr>
            <w:r>
              <w:rPr>
                <w:szCs w:val="20"/>
                <w:lang w:val="es-ES"/>
              </w:rPr>
              <w:t>Otra cosa__________</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14A49D" w14:textId="77777777" w:rsidR="001A20B8" w:rsidRDefault="001A20B8">
            <w:pPr>
              <w:pStyle w:val="NoSpacing"/>
              <w:spacing w:line="214" w:lineRule="atLeast"/>
              <w:rPr>
                <w:szCs w:val="20"/>
                <w:lang w:val="es-ES"/>
              </w:rPr>
            </w:pPr>
            <w:r>
              <w:rPr>
                <w:szCs w:val="20"/>
                <w:lang w:val="es-ES"/>
              </w:rPr>
              <w:t>33,331.27</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FC14DE" w14:textId="77777777" w:rsidR="001A20B8" w:rsidRDefault="001A20B8">
            <w:pPr>
              <w:pStyle w:val="NoSpacing"/>
              <w:spacing w:line="214" w:lineRule="atLeast"/>
              <w:rPr>
                <w:szCs w:val="20"/>
                <w:lang w:val="es-ES"/>
              </w:rPr>
            </w:pPr>
            <w:r>
              <w:rPr>
                <w:szCs w:val="20"/>
                <w:lang w:val="es-ES"/>
              </w:rPr>
              <w:t>18,988.31</w:t>
            </w:r>
          </w:p>
        </w:tc>
      </w:tr>
      <w:tr w:rsidR="001A20B8" w14:paraId="2A6633D1" w14:textId="77777777" w:rsidTr="001A20B8">
        <w:trPr>
          <w:trHeight w:val="373"/>
        </w:trPr>
        <w:tc>
          <w:tcPr>
            <w:tcW w:w="0" w:type="auto"/>
            <w:vMerge/>
            <w:tcBorders>
              <w:top w:val="nil"/>
              <w:left w:val="single" w:sz="8" w:space="0" w:color="000000"/>
              <w:bottom w:val="single" w:sz="8" w:space="0" w:color="000000"/>
              <w:right w:val="single" w:sz="8" w:space="0" w:color="000000"/>
            </w:tcBorders>
            <w:vAlign w:val="center"/>
            <w:hideMark/>
          </w:tcPr>
          <w:p w14:paraId="5D03D00F" w14:textId="77777777" w:rsidR="001A20B8" w:rsidRDefault="001A20B8">
            <w:pPr>
              <w:rPr>
                <w:szCs w:val="20"/>
                <w:lang w:val="es-ES"/>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51CA8E" w14:textId="77777777" w:rsidR="001A20B8" w:rsidRDefault="001A20B8">
            <w:pPr>
              <w:pStyle w:val="NoSpacing"/>
              <w:spacing w:line="214" w:lineRule="atLeast"/>
              <w:rPr>
                <w:szCs w:val="20"/>
                <w:lang w:val="es-ES"/>
              </w:rPr>
            </w:pPr>
            <w:r>
              <w:rPr>
                <w:szCs w:val="20"/>
                <w:lang w:val="es-ES"/>
              </w:rPr>
              <w:t>Subtotal</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D49422" w14:textId="77777777" w:rsidR="001A20B8" w:rsidRDefault="001A20B8">
            <w:pPr>
              <w:pStyle w:val="NoSpacing"/>
              <w:spacing w:line="214" w:lineRule="atLeast"/>
              <w:rPr>
                <w:szCs w:val="20"/>
                <w:lang w:val="es-ES"/>
              </w:rPr>
            </w:pPr>
            <w:r>
              <w:rPr>
                <w:szCs w:val="20"/>
                <w:lang w:val="es-ES"/>
              </w:rPr>
              <w:t>80,532.19</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43C195" w14:textId="77777777" w:rsidR="001A20B8" w:rsidRDefault="001A20B8">
            <w:pPr>
              <w:pStyle w:val="NoSpacing"/>
              <w:spacing w:line="214" w:lineRule="atLeast"/>
              <w:rPr>
                <w:szCs w:val="20"/>
                <w:lang w:val="es-ES"/>
              </w:rPr>
            </w:pPr>
            <w:r>
              <w:rPr>
                <w:szCs w:val="20"/>
                <w:lang w:val="es-ES"/>
              </w:rPr>
              <w:t>419,339.65</w:t>
            </w:r>
          </w:p>
        </w:tc>
      </w:tr>
      <w:tr w:rsidR="001A20B8" w14:paraId="463EBA82" w14:textId="77777777" w:rsidTr="001A20B8">
        <w:trPr>
          <w:trHeight w:val="373"/>
        </w:trPr>
        <w:tc>
          <w:tcPr>
            <w:tcW w:w="1525" w:type="dxa"/>
            <w:tcBorders>
              <w:top w:val="nil"/>
              <w:left w:val="single" w:sz="8" w:space="0" w:color="000000"/>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2DDEA5BB" w14:textId="77777777" w:rsidR="001A20B8" w:rsidRDefault="001A20B8">
            <w:pPr>
              <w:pStyle w:val="NoSpacing"/>
              <w:spacing w:line="214" w:lineRule="atLeast"/>
              <w:rPr>
                <w:szCs w:val="20"/>
              </w:rPr>
            </w:pPr>
            <w:r>
              <w:rPr>
                <w:szCs w:val="20"/>
              </w:rPr>
              <w:t> </w:t>
            </w:r>
          </w:p>
        </w:tc>
        <w:tc>
          <w:tcPr>
            <w:tcW w:w="3150"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5188B160" w14:textId="77777777" w:rsidR="001A20B8" w:rsidRDefault="001A20B8">
            <w:pPr>
              <w:pStyle w:val="NoSpacing"/>
              <w:spacing w:line="214" w:lineRule="atLeast"/>
              <w:rPr>
                <w:szCs w:val="20"/>
              </w:rPr>
            </w:pPr>
            <w:r>
              <w:rPr>
                <w:szCs w:val="20"/>
              </w:rPr>
              <w:t> </w:t>
            </w:r>
          </w:p>
        </w:tc>
        <w:tc>
          <w:tcPr>
            <w:tcW w:w="2994"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0409A3CB" w14:textId="77777777" w:rsidR="001A20B8" w:rsidRDefault="001A20B8">
            <w:pPr>
              <w:pStyle w:val="NoSpacing"/>
              <w:spacing w:line="214" w:lineRule="atLeast"/>
              <w:rPr>
                <w:szCs w:val="20"/>
              </w:rPr>
            </w:pPr>
            <w:r>
              <w:rPr>
                <w:szCs w:val="20"/>
              </w:rPr>
              <w:t> </w:t>
            </w:r>
          </w:p>
        </w:tc>
        <w:tc>
          <w:tcPr>
            <w:tcW w:w="2946" w:type="dxa"/>
            <w:tcBorders>
              <w:top w:val="nil"/>
              <w:left w:val="nil"/>
              <w:bottom w:val="single" w:sz="8" w:space="0" w:color="000000"/>
              <w:right w:val="single" w:sz="8" w:space="0" w:color="000000"/>
            </w:tcBorders>
            <w:shd w:val="clear" w:color="auto" w:fill="002D72"/>
            <w:tcMar>
              <w:top w:w="0" w:type="dxa"/>
              <w:left w:w="108" w:type="dxa"/>
              <w:bottom w:w="0" w:type="dxa"/>
              <w:right w:w="108" w:type="dxa"/>
            </w:tcMar>
            <w:vAlign w:val="center"/>
            <w:hideMark/>
          </w:tcPr>
          <w:p w14:paraId="00DD5627" w14:textId="77777777" w:rsidR="001A20B8" w:rsidRDefault="001A20B8">
            <w:pPr>
              <w:pStyle w:val="NoSpacing"/>
              <w:spacing w:line="214" w:lineRule="atLeast"/>
              <w:rPr>
                <w:szCs w:val="20"/>
              </w:rPr>
            </w:pPr>
            <w:r>
              <w:rPr>
                <w:szCs w:val="20"/>
              </w:rPr>
              <w:t> </w:t>
            </w:r>
          </w:p>
        </w:tc>
      </w:tr>
      <w:tr w:rsidR="001A20B8" w14:paraId="6903AA36" w14:textId="77777777" w:rsidTr="001A20B8">
        <w:trPr>
          <w:trHeight w:val="373"/>
        </w:trPr>
        <w:tc>
          <w:tcPr>
            <w:tcW w:w="46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85EABC" w14:textId="77777777" w:rsidR="001A20B8" w:rsidRDefault="001A20B8">
            <w:pPr>
              <w:pStyle w:val="NoSpacing"/>
              <w:spacing w:line="214" w:lineRule="atLeast"/>
              <w:rPr>
                <w:szCs w:val="20"/>
              </w:rPr>
            </w:pPr>
            <w:r>
              <w:rPr>
                <w:b/>
                <w:bCs/>
                <w:szCs w:val="20"/>
                <w:lang w:val="es-ES"/>
              </w:rPr>
              <w:t>Total</w:t>
            </w:r>
          </w:p>
        </w:tc>
        <w:tc>
          <w:tcPr>
            <w:tcW w:w="2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8B2DF9" w14:textId="77777777" w:rsidR="001A20B8" w:rsidRDefault="001A20B8">
            <w:pPr>
              <w:pStyle w:val="NoSpacing"/>
              <w:spacing w:line="214" w:lineRule="atLeast"/>
              <w:rPr>
                <w:szCs w:val="20"/>
              </w:rPr>
            </w:pPr>
            <w:r>
              <w:rPr>
                <w:b/>
                <w:bCs/>
                <w:szCs w:val="20"/>
                <w:lang w:val="es-ES"/>
              </w:rPr>
              <w:t>165,005.01</w:t>
            </w:r>
          </w:p>
        </w:tc>
        <w:tc>
          <w:tcPr>
            <w:tcW w:w="294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6F9714" w14:textId="77777777" w:rsidR="001A20B8" w:rsidRDefault="001A20B8">
            <w:pPr>
              <w:pStyle w:val="NoSpacing"/>
              <w:spacing w:line="214" w:lineRule="atLeast"/>
              <w:rPr>
                <w:szCs w:val="20"/>
              </w:rPr>
            </w:pPr>
            <w:r>
              <w:rPr>
                <w:b/>
                <w:bCs/>
                <w:szCs w:val="20"/>
                <w:lang w:val="es-ES"/>
              </w:rPr>
              <w:t>1,749,915.66</w:t>
            </w:r>
          </w:p>
        </w:tc>
      </w:tr>
    </w:tbl>
    <w:p w14:paraId="4CA5D28D" w14:textId="77777777" w:rsidR="001A20B8" w:rsidRDefault="001A20B8" w:rsidP="001A20B8">
      <w:pPr>
        <w:rPr>
          <w:rFonts w:ascii="Times New Roman" w:hAnsi="Times New Roman" w:cs="Times New Roman"/>
          <w:sz w:val="24"/>
          <w:szCs w:val="24"/>
        </w:rPr>
      </w:pPr>
      <w:r>
        <w:rPr>
          <w:color w:val="000000"/>
          <w:szCs w:val="20"/>
          <w:shd w:val="clear" w:color="auto" w:fill="FFFF00"/>
        </w:rPr>
        <w:br w:type="textWrapping" w:clear="all"/>
      </w:r>
    </w:p>
    <w:p w14:paraId="108B4B82" w14:textId="77777777" w:rsidR="001A20B8" w:rsidRDefault="001A20B8" w:rsidP="001A20B8">
      <w:pPr>
        <w:spacing w:line="214" w:lineRule="atLeast"/>
        <w:rPr>
          <w:color w:val="000000"/>
          <w:szCs w:val="20"/>
        </w:rPr>
      </w:pPr>
      <w:r>
        <w:rPr>
          <w:color w:val="000000"/>
          <w:szCs w:val="20"/>
          <w:shd w:val="clear" w:color="auto" w:fill="FFFF00"/>
        </w:rPr>
        <w:lastRenderedPageBreak/>
        <w:t> </w:t>
      </w:r>
    </w:p>
    <w:p w14:paraId="4ADC7D5D" w14:textId="77777777" w:rsidR="001A20B8" w:rsidRDefault="001A20B8" w:rsidP="001A20B8">
      <w:pPr>
        <w:pStyle w:val="Heading2"/>
        <w:spacing w:line="214" w:lineRule="atLeast"/>
        <w:rPr>
          <w:iCs/>
          <w:color w:val="000000"/>
          <w:szCs w:val="20"/>
        </w:rPr>
      </w:pPr>
      <w:r>
        <w:rPr>
          <w:i w:val="0"/>
          <w:iCs/>
          <w:color w:val="000000"/>
          <w:szCs w:val="20"/>
          <w:lang w:val="es-ES"/>
        </w:rPr>
        <w:t>Académicos</w:t>
      </w:r>
    </w:p>
    <w:p w14:paraId="07C2290A" w14:textId="77777777" w:rsidR="001A20B8" w:rsidRDefault="001A20B8" w:rsidP="001A20B8">
      <w:pPr>
        <w:pStyle w:val="cm10"/>
        <w:spacing w:before="0" w:beforeAutospacing="0" w:after="120" w:afterAutospacing="0" w:line="257" w:lineRule="atLeast"/>
        <w:ind w:left="187" w:hanging="187"/>
        <w:rPr>
          <w:rFonts w:ascii="Open Sans" w:hAnsi="Open Sans" w:cs="Open Sans"/>
          <w:color w:val="000000"/>
          <w:sz w:val="27"/>
          <w:szCs w:val="27"/>
          <w:lang w:val="es-ES"/>
        </w:rPr>
      </w:pPr>
      <w:r>
        <w:rPr>
          <w:rFonts w:ascii="Open Sans" w:hAnsi="Open Sans" w:cs="Open Sans"/>
          <w:color w:val="000000"/>
          <w:sz w:val="27"/>
          <w:szCs w:val="27"/>
          <w:lang w:val="es-ES"/>
        </w:rPr>
        <w:t>1. </w:t>
      </w:r>
      <w:r>
        <w:rPr>
          <w:rFonts w:ascii="Open Sans" w:hAnsi="Open Sans" w:cs="Open Sans"/>
          <w:color w:val="000000"/>
          <w:sz w:val="20"/>
          <w:szCs w:val="20"/>
          <w:lang w:val="es-ES"/>
        </w:rPr>
        <w:t>Describa las asignaciones estratégicas para acelerar el </w:t>
      </w:r>
      <w:r>
        <w:rPr>
          <w:rFonts w:ascii="Open Sans" w:hAnsi="Open Sans" w:cs="Open Sans"/>
          <w:b/>
          <w:bCs/>
          <w:color w:val="000000"/>
          <w:sz w:val="20"/>
          <w:szCs w:val="20"/>
          <w:lang w:val="es-ES"/>
        </w:rPr>
        <w:t>rendimiento académico</w:t>
      </w:r>
      <w:r>
        <w:rPr>
          <w:rFonts w:ascii="Open Sans" w:hAnsi="Open Sans" w:cs="Open Sans"/>
          <w:color w:val="000000"/>
          <w:sz w:val="20"/>
          <w:szCs w:val="20"/>
          <w:lang w:val="es-ES"/>
        </w:rPr>
        <w:t>, incluida la forma en que las asignaciones respaldan las inversiones identificadas en la evaluación de necesidades del distrito.</w:t>
      </w:r>
    </w:p>
    <w:tbl>
      <w:tblPr>
        <w:tblW w:w="0" w:type="auto"/>
        <w:tblCellMar>
          <w:left w:w="0" w:type="dxa"/>
          <w:right w:w="0" w:type="dxa"/>
        </w:tblCellMar>
        <w:tblLook w:val="04A0" w:firstRow="1" w:lastRow="0" w:firstColumn="1" w:lastColumn="0" w:noHBand="0" w:noVBand="1"/>
      </w:tblPr>
      <w:tblGrid>
        <w:gridCol w:w="10060"/>
      </w:tblGrid>
      <w:tr w:rsidR="001A20B8" w14:paraId="0ED97A7F"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AD065A" w14:textId="77777777" w:rsidR="001A20B8" w:rsidRDefault="001A20B8">
            <w:pPr>
              <w:spacing w:line="214" w:lineRule="atLeast"/>
              <w:rPr>
                <w:szCs w:val="20"/>
              </w:rPr>
            </w:pPr>
            <w:r>
              <w:rPr>
                <w:szCs w:val="20"/>
                <w:lang w:val="es-ES"/>
              </w:rPr>
              <w:t>Los fondos de ESSER 3.0 continúan siendo utilizados para proporcionar tutoría después de la escuela, recuperación de créditos, herramientas de evaluación altamente efectivas para identificar niveles de pérdida de aprendizaje y materiales de alta calidad para apoyar a los maestros en la instrucción básica y la intervención escalonada.</w:t>
            </w:r>
          </w:p>
        </w:tc>
      </w:tr>
    </w:tbl>
    <w:p w14:paraId="483D1EC5" w14:textId="77777777" w:rsidR="001A20B8" w:rsidRDefault="001A20B8" w:rsidP="001A20B8">
      <w:pPr>
        <w:spacing w:line="214" w:lineRule="atLeast"/>
        <w:rPr>
          <w:color w:val="000000"/>
          <w:szCs w:val="20"/>
        </w:rPr>
      </w:pPr>
      <w:r>
        <w:rPr>
          <w:color w:val="000000"/>
          <w:szCs w:val="20"/>
        </w:rPr>
        <w:t> </w:t>
      </w:r>
    </w:p>
    <w:p w14:paraId="6BD25417"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2.</w:t>
      </w:r>
      <w:r>
        <w:rPr>
          <w:color w:val="000000"/>
          <w:sz w:val="14"/>
          <w:szCs w:val="14"/>
          <w:lang w:val="es-ES"/>
        </w:rPr>
        <w:t> </w:t>
      </w:r>
      <w:r>
        <w:rPr>
          <w:color w:val="000000"/>
          <w:szCs w:val="20"/>
          <w:lang w:val="es-ES"/>
        </w:rPr>
        <w:t>Describa las iniciativas incluidas en la categoría "otros".</w:t>
      </w:r>
    </w:p>
    <w:tbl>
      <w:tblPr>
        <w:tblW w:w="0" w:type="auto"/>
        <w:tblCellMar>
          <w:left w:w="0" w:type="dxa"/>
          <w:right w:w="0" w:type="dxa"/>
        </w:tblCellMar>
        <w:tblLook w:val="04A0" w:firstRow="1" w:lastRow="0" w:firstColumn="1" w:lastColumn="0" w:noHBand="0" w:noVBand="1"/>
      </w:tblPr>
      <w:tblGrid>
        <w:gridCol w:w="10060"/>
      </w:tblGrid>
      <w:tr w:rsidR="001A20B8" w14:paraId="79ABE63F"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F0DF1A" w14:textId="77777777" w:rsidR="001A20B8" w:rsidRDefault="001A20B8">
            <w:pPr>
              <w:spacing w:line="214" w:lineRule="atLeast"/>
              <w:rPr>
                <w:szCs w:val="20"/>
              </w:rPr>
            </w:pPr>
            <w:r>
              <w:rPr>
                <w:szCs w:val="20"/>
                <w:lang w:val="es-ES"/>
              </w:rPr>
              <w:t>Hay varias iniciativas tanto en ESSER 2 como en 3 en la categoría "otros". ESSER 2.0: Beneficios académicos-Fringe para asistentes educativos; Salario del director de ESSER y beneficios complementarios. ESSER 3.0: Académicos- Beneficios complementarios para asistentes educativos.</w:t>
            </w:r>
          </w:p>
        </w:tc>
      </w:tr>
    </w:tbl>
    <w:p w14:paraId="52ACFE30" w14:textId="77777777" w:rsidR="001A20B8" w:rsidRDefault="001A20B8" w:rsidP="001A20B8">
      <w:pPr>
        <w:spacing w:line="214" w:lineRule="atLeast"/>
        <w:rPr>
          <w:color w:val="000000"/>
          <w:szCs w:val="20"/>
        </w:rPr>
      </w:pPr>
      <w:r>
        <w:rPr>
          <w:color w:val="000000"/>
          <w:szCs w:val="20"/>
        </w:rPr>
        <w:t> </w:t>
      </w:r>
    </w:p>
    <w:p w14:paraId="51A068A7" w14:textId="77777777" w:rsidR="001A20B8" w:rsidRDefault="001A20B8" w:rsidP="001A20B8">
      <w:pPr>
        <w:pStyle w:val="Heading2"/>
        <w:spacing w:line="214" w:lineRule="atLeast"/>
        <w:rPr>
          <w:iCs/>
          <w:color w:val="000000"/>
          <w:szCs w:val="20"/>
        </w:rPr>
      </w:pPr>
      <w:r>
        <w:rPr>
          <w:i w:val="0"/>
          <w:iCs/>
          <w:color w:val="000000"/>
          <w:szCs w:val="20"/>
          <w:lang w:val="es-ES"/>
        </w:rPr>
        <w:t>Preparación del estudiante</w:t>
      </w:r>
    </w:p>
    <w:p w14:paraId="11DBBA1E"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1. Describa las asignaciones estratégicas para apoyar la </w:t>
      </w:r>
      <w:r>
        <w:rPr>
          <w:b/>
          <w:bCs/>
          <w:color w:val="000000"/>
          <w:szCs w:val="20"/>
          <w:lang w:val="es-ES"/>
        </w:rPr>
        <w:t>preparación del estudiante</w:t>
      </w:r>
      <w:r>
        <w:rPr>
          <w:color w:val="000000"/>
          <w:szCs w:val="20"/>
          <w:lang w:val="es-ES"/>
        </w:rPr>
        <w:t> y los apoyos relacionados con la escuela necesarios para acceder a una instrucción de alta calidad, incluida la forma en que las asignaciones respaldan las inversiones identificadas en la evaluación de necesidades del distrito.</w:t>
      </w:r>
    </w:p>
    <w:tbl>
      <w:tblPr>
        <w:tblW w:w="0" w:type="auto"/>
        <w:tblCellMar>
          <w:left w:w="0" w:type="dxa"/>
          <w:right w:w="0" w:type="dxa"/>
        </w:tblCellMar>
        <w:tblLook w:val="04A0" w:firstRow="1" w:lastRow="0" w:firstColumn="1" w:lastColumn="0" w:noHBand="0" w:noVBand="1"/>
      </w:tblPr>
      <w:tblGrid>
        <w:gridCol w:w="10060"/>
      </w:tblGrid>
      <w:tr w:rsidR="001A20B8" w14:paraId="04550941"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7FD682" w14:textId="77777777" w:rsidR="001A20B8" w:rsidRDefault="001A20B8">
            <w:pPr>
              <w:spacing w:line="214" w:lineRule="atLeast"/>
              <w:rPr>
                <w:szCs w:val="20"/>
              </w:rPr>
            </w:pPr>
            <w:r>
              <w:rPr>
                <w:szCs w:val="20"/>
                <w:lang w:val="es-ES"/>
              </w:rPr>
              <w:t>Continuamos utilizando los fondos de ESSER 3.0 para satisfacer el aumento de las referencias de salud como resultado de COVID, brindamos apoyo a aquellos que tienen medios de otra manera y proporcionamos diversos recursos académicos y de salud según lo identificado por la evaluación de necesidades del distrito.</w:t>
            </w:r>
          </w:p>
        </w:tc>
      </w:tr>
    </w:tbl>
    <w:p w14:paraId="4D50B5CA" w14:textId="77777777" w:rsidR="001A20B8" w:rsidRDefault="001A20B8" w:rsidP="001A20B8">
      <w:pPr>
        <w:spacing w:line="214" w:lineRule="atLeast"/>
        <w:rPr>
          <w:color w:val="000000"/>
          <w:szCs w:val="20"/>
        </w:rPr>
      </w:pPr>
      <w:r>
        <w:rPr>
          <w:color w:val="000000"/>
          <w:szCs w:val="20"/>
        </w:rPr>
        <w:t> </w:t>
      </w:r>
    </w:p>
    <w:p w14:paraId="2C5AE28C"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2.</w:t>
      </w:r>
      <w:r>
        <w:rPr>
          <w:color w:val="000000"/>
          <w:sz w:val="14"/>
          <w:szCs w:val="14"/>
          <w:lang w:val="es-ES"/>
        </w:rPr>
        <w:t> </w:t>
      </w:r>
      <w:r>
        <w:rPr>
          <w:color w:val="000000"/>
          <w:szCs w:val="20"/>
          <w:lang w:val="es-ES"/>
        </w:rPr>
        <w:t>Describa las iniciativas incluidas en la categoría "otros".</w:t>
      </w:r>
    </w:p>
    <w:tbl>
      <w:tblPr>
        <w:tblW w:w="0" w:type="auto"/>
        <w:tblCellMar>
          <w:left w:w="0" w:type="dxa"/>
          <w:right w:w="0" w:type="dxa"/>
        </w:tblCellMar>
        <w:tblLook w:val="04A0" w:firstRow="1" w:lastRow="0" w:firstColumn="1" w:lastColumn="0" w:noHBand="0" w:noVBand="1"/>
      </w:tblPr>
      <w:tblGrid>
        <w:gridCol w:w="10060"/>
      </w:tblGrid>
      <w:tr w:rsidR="001A20B8" w14:paraId="02C6813E"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B1D85F" w14:textId="77777777" w:rsidR="001A20B8" w:rsidRDefault="001A20B8">
            <w:pPr>
              <w:spacing w:line="214" w:lineRule="atLeast"/>
              <w:rPr>
                <w:szCs w:val="20"/>
                <w:lang w:val="es-ES"/>
              </w:rPr>
            </w:pPr>
            <w:r>
              <w:rPr>
                <w:szCs w:val="20"/>
                <w:lang w:val="es-ES"/>
              </w:rPr>
              <w:t>Las iniciativas en la categoría "otros" incluyen salarios y beneficios complementarios para tres enfermeras y dos oficiales de seguridad estudiantil; varios programas educativos para utilizar para la diferenciación, el aprendizaje virtual y la pérdida de aprendizaje.</w:t>
            </w:r>
          </w:p>
        </w:tc>
      </w:tr>
    </w:tbl>
    <w:p w14:paraId="1458DB01" w14:textId="77777777" w:rsidR="001A20B8" w:rsidRDefault="001A20B8" w:rsidP="001A20B8">
      <w:pPr>
        <w:spacing w:line="214" w:lineRule="atLeast"/>
        <w:rPr>
          <w:color w:val="000000"/>
          <w:szCs w:val="20"/>
        </w:rPr>
      </w:pPr>
      <w:r>
        <w:rPr>
          <w:color w:val="000000"/>
          <w:szCs w:val="20"/>
        </w:rPr>
        <w:t> </w:t>
      </w:r>
    </w:p>
    <w:p w14:paraId="2FD660AD" w14:textId="77777777" w:rsidR="001A20B8" w:rsidRDefault="001A20B8" w:rsidP="001A20B8">
      <w:pPr>
        <w:pStyle w:val="Heading2"/>
        <w:spacing w:line="214" w:lineRule="atLeast"/>
        <w:rPr>
          <w:iCs/>
          <w:color w:val="000000"/>
          <w:szCs w:val="20"/>
        </w:rPr>
      </w:pPr>
      <w:r>
        <w:rPr>
          <w:i w:val="0"/>
          <w:iCs/>
          <w:color w:val="000000"/>
          <w:szCs w:val="20"/>
          <w:lang w:val="es-ES"/>
        </w:rPr>
        <w:t>Educadores</w:t>
      </w:r>
    </w:p>
    <w:p w14:paraId="4E4796E0" w14:textId="77777777" w:rsidR="001A20B8" w:rsidRDefault="001A20B8" w:rsidP="001A20B8">
      <w:pPr>
        <w:pStyle w:val="cm10"/>
        <w:spacing w:before="0" w:beforeAutospacing="0" w:after="120" w:afterAutospacing="0" w:line="257" w:lineRule="atLeast"/>
        <w:ind w:left="187" w:hanging="187"/>
        <w:rPr>
          <w:rFonts w:ascii="Open Sans" w:hAnsi="Open Sans" w:cs="Open Sans"/>
          <w:color w:val="000000"/>
          <w:sz w:val="27"/>
          <w:szCs w:val="27"/>
          <w:lang w:val="es-ES"/>
        </w:rPr>
      </w:pPr>
      <w:r>
        <w:rPr>
          <w:rFonts w:ascii="Open Sans" w:hAnsi="Open Sans" w:cs="Open Sans"/>
          <w:color w:val="000000"/>
          <w:sz w:val="27"/>
          <w:szCs w:val="27"/>
          <w:lang w:val="es-ES"/>
        </w:rPr>
        <w:t>1. </w:t>
      </w:r>
      <w:r>
        <w:rPr>
          <w:rFonts w:ascii="Open Sans" w:hAnsi="Open Sans" w:cs="Open Sans"/>
          <w:color w:val="000000"/>
          <w:sz w:val="20"/>
          <w:szCs w:val="20"/>
          <w:lang w:val="es-ES"/>
        </w:rPr>
        <w:t>Describa las asignaciones estratégicas para </w:t>
      </w:r>
      <w:r>
        <w:rPr>
          <w:rFonts w:ascii="Open Sans" w:hAnsi="Open Sans" w:cs="Open Sans"/>
          <w:b/>
          <w:bCs/>
          <w:color w:val="000000"/>
          <w:sz w:val="20"/>
          <w:szCs w:val="20"/>
          <w:lang w:val="es-ES"/>
        </w:rPr>
        <w:t>reclutar, retener y apoyar a los educadores y al personal escolar,</w:t>
      </w:r>
      <w:r>
        <w:rPr>
          <w:rFonts w:ascii="Open Sans" w:hAnsi="Open Sans" w:cs="Open Sans"/>
          <w:color w:val="000000"/>
          <w:sz w:val="20"/>
          <w:szCs w:val="20"/>
          <w:lang w:val="es-ES"/>
        </w:rPr>
        <w:t> incluida la forma en que las asignaciones respaldan las inversiones identificadas en la evaluación de necesidades del distrito.</w:t>
      </w:r>
    </w:p>
    <w:tbl>
      <w:tblPr>
        <w:tblW w:w="0" w:type="auto"/>
        <w:tblCellMar>
          <w:left w:w="0" w:type="dxa"/>
          <w:right w:w="0" w:type="dxa"/>
        </w:tblCellMar>
        <w:tblLook w:val="04A0" w:firstRow="1" w:lastRow="0" w:firstColumn="1" w:lastColumn="0" w:noHBand="0" w:noVBand="1"/>
      </w:tblPr>
      <w:tblGrid>
        <w:gridCol w:w="10060"/>
      </w:tblGrid>
      <w:tr w:rsidR="001A20B8" w14:paraId="1B6D1622"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73FAE6" w14:textId="77777777" w:rsidR="001A20B8" w:rsidRDefault="001A20B8">
            <w:pPr>
              <w:spacing w:line="214" w:lineRule="atLeast"/>
              <w:rPr>
                <w:szCs w:val="20"/>
              </w:rPr>
            </w:pPr>
            <w:r>
              <w:rPr>
                <w:szCs w:val="20"/>
                <w:lang w:val="es-ES"/>
              </w:rPr>
              <w:t>Los fondos ESSER 2.0 y 3.0 continuarán utilizándose para garantizar que el tamaño de las clases sea más pequeño para un mejor distanciamiento social y una mejor proporción de maestros / estudiantes para abordar mejor la pérdida de aprendizaje, un pago más competitivo para los maestros sustitutos para garantizar que se cumplan las prioridades académicas y que los programas de tecnología sean fácilmente accesibles para el aprendizaje virtual. diferenciación y pérdida de aprendizaje. Estas iniciativas abordarán diversas necesidades que se identificaron en la evaluación de las necesidades.</w:t>
            </w:r>
          </w:p>
        </w:tc>
      </w:tr>
    </w:tbl>
    <w:p w14:paraId="42F6E241" w14:textId="77777777" w:rsidR="001A20B8" w:rsidRDefault="001A20B8" w:rsidP="001A20B8">
      <w:pPr>
        <w:spacing w:line="214" w:lineRule="atLeast"/>
        <w:rPr>
          <w:color w:val="000000"/>
          <w:szCs w:val="20"/>
        </w:rPr>
      </w:pPr>
      <w:r>
        <w:rPr>
          <w:color w:val="000000"/>
          <w:szCs w:val="20"/>
        </w:rPr>
        <w:t> </w:t>
      </w:r>
    </w:p>
    <w:p w14:paraId="1452B188"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2.</w:t>
      </w:r>
      <w:r>
        <w:rPr>
          <w:color w:val="000000"/>
          <w:sz w:val="14"/>
          <w:szCs w:val="14"/>
          <w:lang w:val="es-ES"/>
        </w:rPr>
        <w:t> </w:t>
      </w:r>
      <w:r>
        <w:rPr>
          <w:color w:val="000000"/>
          <w:szCs w:val="20"/>
          <w:lang w:val="es-ES"/>
        </w:rPr>
        <w:t>Describa las iniciativas incluidas en la categoría "otros".</w:t>
      </w:r>
    </w:p>
    <w:tbl>
      <w:tblPr>
        <w:tblW w:w="0" w:type="auto"/>
        <w:tblCellMar>
          <w:left w:w="0" w:type="dxa"/>
          <w:right w:w="0" w:type="dxa"/>
        </w:tblCellMar>
        <w:tblLook w:val="04A0" w:firstRow="1" w:lastRow="0" w:firstColumn="1" w:lastColumn="0" w:noHBand="0" w:noVBand="1"/>
      </w:tblPr>
      <w:tblGrid>
        <w:gridCol w:w="10060"/>
      </w:tblGrid>
      <w:tr w:rsidR="001A20B8" w14:paraId="6F96EED7"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7160AF" w14:textId="77777777" w:rsidR="001A20B8" w:rsidRDefault="001A20B8">
            <w:pPr>
              <w:spacing w:line="214" w:lineRule="atLeast"/>
              <w:rPr>
                <w:szCs w:val="20"/>
              </w:rPr>
            </w:pPr>
            <w:r>
              <w:rPr>
                <w:szCs w:val="20"/>
                <w:lang w:val="es-ES"/>
              </w:rPr>
              <w:lastRenderedPageBreak/>
              <w:t>Hay varias iniciativas tanto en ESSER 2 como en 3 en la categoría "otros". ESSER 2.0 Beneficios complementarios para maestros de reducción de tamaño de clase. ESSER 3.0-Salarios para maestros sustitutos certificados y no certificados; Beneficios adicionales para entrenadores de tecnología y maestros de reducción de tamaño de clase.</w:t>
            </w:r>
          </w:p>
        </w:tc>
      </w:tr>
    </w:tbl>
    <w:p w14:paraId="0C55A312" w14:textId="77777777" w:rsidR="001A20B8" w:rsidRDefault="001A20B8" w:rsidP="001A20B8">
      <w:pPr>
        <w:spacing w:line="214" w:lineRule="atLeast"/>
        <w:rPr>
          <w:color w:val="000000"/>
          <w:szCs w:val="20"/>
        </w:rPr>
      </w:pPr>
      <w:r>
        <w:rPr>
          <w:color w:val="000000"/>
          <w:szCs w:val="20"/>
        </w:rPr>
        <w:t> </w:t>
      </w:r>
    </w:p>
    <w:p w14:paraId="4C5DB1D8" w14:textId="77777777" w:rsidR="001A20B8" w:rsidRDefault="001A20B8" w:rsidP="001A20B8">
      <w:pPr>
        <w:pStyle w:val="Heading2"/>
        <w:spacing w:line="214" w:lineRule="atLeast"/>
        <w:rPr>
          <w:iCs/>
          <w:color w:val="000000"/>
          <w:szCs w:val="20"/>
          <w:lang w:val="es-ES"/>
        </w:rPr>
      </w:pPr>
      <w:r>
        <w:rPr>
          <w:i w:val="0"/>
          <w:iCs/>
          <w:color w:val="000000"/>
          <w:szCs w:val="20"/>
          <w:lang w:val="es-ES"/>
        </w:rPr>
        <w:t>Cimientos</w:t>
      </w:r>
    </w:p>
    <w:p w14:paraId="417C902C" w14:textId="77777777" w:rsidR="001A20B8" w:rsidRDefault="001A20B8" w:rsidP="001A20B8">
      <w:pPr>
        <w:pStyle w:val="default0"/>
        <w:spacing w:before="0" w:beforeAutospacing="0" w:after="120" w:afterAutospacing="0" w:line="257" w:lineRule="atLeast"/>
        <w:ind w:left="187" w:right="331" w:hanging="187"/>
        <w:rPr>
          <w:rFonts w:ascii="Open Sans" w:hAnsi="Open Sans" w:cs="Open Sans"/>
          <w:color w:val="000000"/>
          <w:sz w:val="27"/>
          <w:szCs w:val="27"/>
          <w:lang w:val="es-ES"/>
        </w:rPr>
      </w:pPr>
      <w:r>
        <w:rPr>
          <w:rFonts w:ascii="Open Sans" w:hAnsi="Open Sans" w:cs="Open Sans"/>
          <w:color w:val="000000"/>
          <w:sz w:val="27"/>
          <w:szCs w:val="27"/>
          <w:lang w:val="es-ES"/>
        </w:rPr>
        <w:t>1. </w:t>
      </w:r>
      <w:r>
        <w:rPr>
          <w:rFonts w:ascii="Open Sans" w:hAnsi="Open Sans" w:cs="Open Sans"/>
          <w:color w:val="000000"/>
          <w:sz w:val="20"/>
          <w:szCs w:val="20"/>
          <w:lang w:val="es-ES"/>
        </w:rPr>
        <w:t>Describa las asignaciones estratégicas para </w:t>
      </w:r>
      <w:r>
        <w:rPr>
          <w:rFonts w:ascii="Open Sans" w:hAnsi="Open Sans" w:cs="Open Sans"/>
          <w:b/>
          <w:bCs/>
          <w:color w:val="000000"/>
          <w:sz w:val="20"/>
          <w:szCs w:val="20"/>
          <w:lang w:val="es-ES"/>
        </w:rPr>
        <w:t>fortalecer las expectativas estructurales</w:t>
      </w:r>
      <w:r>
        <w:rPr>
          <w:rFonts w:ascii="Open Sans" w:hAnsi="Open Sans" w:cs="Open Sans"/>
          <w:color w:val="000000"/>
          <w:sz w:val="20"/>
          <w:szCs w:val="20"/>
          <w:lang w:val="es-ES"/>
        </w:rPr>
        <w:t>, incluida la forma en que las asignaciones respaldan las inversiones identificadas en la evaluación de necesidades del distrito.</w:t>
      </w:r>
    </w:p>
    <w:tbl>
      <w:tblPr>
        <w:tblW w:w="0" w:type="auto"/>
        <w:tblCellMar>
          <w:left w:w="0" w:type="dxa"/>
          <w:right w:w="0" w:type="dxa"/>
        </w:tblCellMar>
        <w:tblLook w:val="04A0" w:firstRow="1" w:lastRow="0" w:firstColumn="1" w:lastColumn="0" w:noHBand="0" w:noVBand="1"/>
      </w:tblPr>
      <w:tblGrid>
        <w:gridCol w:w="10060"/>
      </w:tblGrid>
      <w:tr w:rsidR="001A20B8" w14:paraId="25D7850D"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B3C69E" w14:textId="77777777" w:rsidR="001A20B8" w:rsidRDefault="001A20B8">
            <w:pPr>
              <w:pStyle w:val="default0"/>
              <w:spacing w:before="0" w:beforeAutospacing="0" w:after="0" w:afterAutospacing="0" w:line="257" w:lineRule="atLeast"/>
              <w:ind w:right="325"/>
              <w:rPr>
                <w:rFonts w:ascii="Open Sans" w:hAnsi="Open Sans" w:cs="Open Sans"/>
                <w:color w:val="000000"/>
              </w:rPr>
            </w:pPr>
            <w:r>
              <w:rPr>
                <w:rFonts w:ascii="Open Sans" w:hAnsi="Open Sans" w:cs="Open Sans"/>
                <w:color w:val="000000"/>
                <w:sz w:val="20"/>
                <w:szCs w:val="20"/>
                <w:lang w:val="es-ES"/>
              </w:rPr>
              <w:t>WCSSD se esfuerza por proporcionar un entorno educativo seguro y enriquecedor para todos los estudiantes con el fin de ayudar a moldearlos en miembros conocedores y productivos de la sociedad. El financiamiento de ESSER le está permitiendo a WCSSD la oportunidad de cumplir con nuestras necesidades y obligaciones con nuestros estudiantes y la comunidad. Los fondos se están utilizando para proporcionar áreas más limpias y seguras para un mejor distanciamiento social y para proporcionar equipos para satisfacer mejor las necesidades de los estudiantes.</w:t>
            </w:r>
          </w:p>
        </w:tc>
      </w:tr>
    </w:tbl>
    <w:p w14:paraId="5817FB8B" w14:textId="77777777" w:rsidR="001A20B8" w:rsidRDefault="001A20B8" w:rsidP="001A20B8">
      <w:pPr>
        <w:pStyle w:val="default0"/>
        <w:spacing w:before="0" w:beforeAutospacing="0" w:after="0" w:afterAutospacing="0" w:line="257" w:lineRule="atLeast"/>
        <w:ind w:right="325"/>
        <w:rPr>
          <w:rFonts w:ascii="Open Sans" w:hAnsi="Open Sans" w:cs="Open Sans"/>
          <w:color w:val="000000"/>
          <w:sz w:val="27"/>
          <w:szCs w:val="27"/>
        </w:rPr>
      </w:pPr>
      <w:r>
        <w:rPr>
          <w:rFonts w:ascii="Open Sans" w:hAnsi="Open Sans" w:cs="Open Sans"/>
          <w:color w:val="000000"/>
          <w:sz w:val="20"/>
          <w:szCs w:val="20"/>
        </w:rPr>
        <w:t> </w:t>
      </w:r>
    </w:p>
    <w:p w14:paraId="2B19E9B3" w14:textId="77777777" w:rsidR="001A20B8" w:rsidRDefault="001A20B8" w:rsidP="001A20B8">
      <w:pPr>
        <w:pStyle w:val="default0"/>
        <w:spacing w:before="0" w:beforeAutospacing="0" w:after="120" w:afterAutospacing="0" w:line="257" w:lineRule="atLeast"/>
        <w:ind w:left="187" w:right="331" w:hanging="187"/>
        <w:rPr>
          <w:rFonts w:ascii="Open Sans" w:hAnsi="Open Sans" w:cs="Open Sans"/>
          <w:color w:val="000000"/>
          <w:sz w:val="27"/>
          <w:szCs w:val="27"/>
          <w:lang w:val="es-ES"/>
        </w:rPr>
      </w:pPr>
      <w:r>
        <w:rPr>
          <w:rFonts w:ascii="Open Sans" w:hAnsi="Open Sans" w:cs="Open Sans"/>
          <w:color w:val="000000"/>
          <w:sz w:val="20"/>
          <w:szCs w:val="20"/>
          <w:lang w:val="es-ES"/>
        </w:rPr>
        <w:t>2.</w:t>
      </w:r>
      <w:r>
        <w:rPr>
          <w:color w:val="000000"/>
          <w:sz w:val="14"/>
          <w:szCs w:val="14"/>
          <w:lang w:val="es-ES"/>
        </w:rPr>
        <w:t> </w:t>
      </w:r>
      <w:r>
        <w:rPr>
          <w:rFonts w:ascii="Open Sans" w:hAnsi="Open Sans" w:cs="Open Sans"/>
          <w:color w:val="000000"/>
          <w:sz w:val="20"/>
          <w:szCs w:val="20"/>
          <w:lang w:val="es-ES"/>
        </w:rPr>
        <w:t>Describa las iniciativas incluidas en la categoría "otros".</w:t>
      </w:r>
    </w:p>
    <w:tbl>
      <w:tblPr>
        <w:tblW w:w="0" w:type="auto"/>
        <w:tblCellMar>
          <w:left w:w="0" w:type="dxa"/>
          <w:right w:w="0" w:type="dxa"/>
        </w:tblCellMar>
        <w:tblLook w:val="04A0" w:firstRow="1" w:lastRow="0" w:firstColumn="1" w:lastColumn="0" w:noHBand="0" w:noVBand="1"/>
      </w:tblPr>
      <w:tblGrid>
        <w:gridCol w:w="10060"/>
      </w:tblGrid>
      <w:tr w:rsidR="001A20B8" w14:paraId="78AB6FBC"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274894" w14:textId="77777777" w:rsidR="001A20B8" w:rsidRDefault="001A20B8">
            <w:pPr>
              <w:rPr>
                <w:szCs w:val="20"/>
              </w:rPr>
            </w:pPr>
            <w:r>
              <w:rPr>
                <w:color w:val="000000"/>
                <w:szCs w:val="20"/>
                <w:lang w:val="es-ES"/>
              </w:rPr>
              <w:t>El financiamiento es ESSER 2.0 </w:t>
            </w:r>
            <w:r>
              <w:rPr>
                <w:szCs w:val="20"/>
                <w:lang w:val="es-ES"/>
              </w:rPr>
              <w:t>que se está utilizando para colocar cercas para la expansión del patio de recreo para permitir el distanciamiento social y mantener a los estudiantes más seguros. ESSER 3.0 está permitiendo la financiación de equipos de cafetería adicionales que permitirán que los servicios de alimentos satisfagan mejor las necesidades de todos los estudiantes.</w:t>
            </w:r>
          </w:p>
          <w:p w14:paraId="2A18135C" w14:textId="77777777" w:rsidR="001A20B8" w:rsidRDefault="001A20B8">
            <w:pPr>
              <w:pStyle w:val="default0"/>
              <w:spacing w:before="0" w:beforeAutospacing="0" w:after="0" w:afterAutospacing="0" w:line="257" w:lineRule="atLeast"/>
              <w:ind w:right="325"/>
              <w:rPr>
                <w:rFonts w:ascii="Open Sans" w:hAnsi="Open Sans" w:cs="Open Sans"/>
                <w:color w:val="000000"/>
              </w:rPr>
            </w:pPr>
            <w:r>
              <w:rPr>
                <w:rFonts w:ascii="Open Sans" w:hAnsi="Open Sans" w:cs="Open Sans"/>
                <w:color w:val="000000"/>
                <w:sz w:val="20"/>
                <w:szCs w:val="20"/>
              </w:rPr>
              <w:t> </w:t>
            </w:r>
          </w:p>
        </w:tc>
      </w:tr>
    </w:tbl>
    <w:p w14:paraId="63EA6BCB" w14:textId="77777777" w:rsidR="001A20B8" w:rsidRDefault="001A20B8" w:rsidP="001A20B8">
      <w:pPr>
        <w:pStyle w:val="default0"/>
        <w:spacing w:before="0" w:beforeAutospacing="0" w:after="0" w:afterAutospacing="0" w:line="257" w:lineRule="atLeast"/>
        <w:ind w:right="325"/>
        <w:rPr>
          <w:rFonts w:ascii="Open Sans" w:hAnsi="Open Sans" w:cs="Open Sans"/>
          <w:color w:val="000000"/>
          <w:sz w:val="27"/>
          <w:szCs w:val="27"/>
        </w:rPr>
      </w:pPr>
      <w:r>
        <w:rPr>
          <w:rFonts w:ascii="Open Sans" w:hAnsi="Open Sans" w:cs="Open Sans"/>
          <w:color w:val="000000"/>
          <w:sz w:val="20"/>
          <w:szCs w:val="20"/>
        </w:rPr>
        <w:t> </w:t>
      </w:r>
    </w:p>
    <w:p w14:paraId="33362530" w14:textId="77777777" w:rsidR="001A20B8" w:rsidRDefault="001A20B8" w:rsidP="001A20B8">
      <w:pPr>
        <w:pStyle w:val="Heading2"/>
        <w:spacing w:line="214" w:lineRule="atLeast"/>
        <w:rPr>
          <w:iCs/>
          <w:color w:val="000000"/>
          <w:szCs w:val="20"/>
          <w:lang w:val="es-ES"/>
        </w:rPr>
      </w:pPr>
      <w:r>
        <w:rPr>
          <w:i w:val="0"/>
          <w:iCs/>
          <w:color w:val="000000"/>
          <w:szCs w:val="20"/>
          <w:lang w:val="es-ES"/>
        </w:rPr>
        <w:t>Supervisión, auditoría y presentación de informes</w:t>
      </w:r>
    </w:p>
    <w:p w14:paraId="3F3D5F21"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1. Describir cómo la LEA continúa monitoreando activamente las asignaciones; realizando auditorías intermedias para garantizar una aplicación adecuada de los fondos; recopilando y administrando los elementos de datos que deben informarse; y reportando esta información a la comunidad.</w:t>
      </w:r>
    </w:p>
    <w:tbl>
      <w:tblPr>
        <w:tblW w:w="0" w:type="auto"/>
        <w:tblCellMar>
          <w:left w:w="0" w:type="dxa"/>
          <w:right w:w="0" w:type="dxa"/>
        </w:tblCellMar>
        <w:tblLook w:val="04A0" w:firstRow="1" w:lastRow="0" w:firstColumn="1" w:lastColumn="0" w:noHBand="0" w:noVBand="1"/>
      </w:tblPr>
      <w:tblGrid>
        <w:gridCol w:w="10060"/>
      </w:tblGrid>
      <w:tr w:rsidR="001A20B8" w14:paraId="6CD5A426"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7753C6" w14:textId="77777777" w:rsidR="001A20B8" w:rsidRDefault="001A20B8">
            <w:pPr>
              <w:spacing w:line="214" w:lineRule="atLeast"/>
              <w:rPr>
                <w:szCs w:val="20"/>
              </w:rPr>
            </w:pPr>
            <w:r>
              <w:rPr>
                <w:szCs w:val="20"/>
                <w:lang w:val="es-ES"/>
              </w:rPr>
              <w:t>Un equipo de partes interesadas se reúne regularmente para evaluar el progreso en el uso de la financiación ESSER 2.0 y 3.0 y la eficiencia y eficacia de la satisfacción de las necesidades de los estudiantes con estos fondos. Además, el director ESSER del Distrito Escolar Especial de West Carroll es responsable de supervisar todos los aspectos de la aplicación ESSER 3.0 y garantizar la implementación y la presentación de informes con fidelidad. El director de ESSER está involucrado en toda la correspondencia y capacitación relacionada con las asignaciones, presupuestos, permisibilidad, gastos e informes de ESSER. El director recibe informes mensuales de gastos, que se concilian con el presupuesto y la permisibilidad. El Director de Escuelas y el Director de Finanzas revisan estos informes de gastos. El director financiero de WCSSD realiza auditorías internas mensualmente para garantizar la permisibilidad y los libros equilibrados. Los informes presupuestarios de ESSER se hacen a la junta escolar en varias reuniones mensuales de la junta. Estas reuniones son públicas y cubiertas por los medios de comunicación locales, incluidos nuestros periódicos locales. Además, las encuestas públicas continuarán evaluando cualquier nueva preocupación o aporte con respecto a los gastos y planes de gasto de ESSER. El director de ESSER 3.0 recopila los elementos de datos que deben informarse con la asistencia de otro personal del distrito y del nivel escolar y una agencia de auditoría externa cuando corresponda. El Director de Programas Federales de WCSSD trabaja en estrecha colaboración con el director de ESSER 3.0 para garantizar que se completen todos los datos e informes.</w:t>
            </w:r>
          </w:p>
        </w:tc>
      </w:tr>
    </w:tbl>
    <w:p w14:paraId="5B07421C" w14:textId="77777777" w:rsidR="001A20B8" w:rsidRDefault="001A20B8" w:rsidP="001A20B8">
      <w:pPr>
        <w:spacing w:line="214" w:lineRule="atLeast"/>
        <w:rPr>
          <w:color w:val="000000"/>
          <w:szCs w:val="20"/>
        </w:rPr>
      </w:pPr>
      <w:r>
        <w:rPr>
          <w:color w:val="000000"/>
          <w:szCs w:val="20"/>
        </w:rPr>
        <w:t> </w:t>
      </w:r>
    </w:p>
    <w:p w14:paraId="40801333"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lastRenderedPageBreak/>
        <w:t>2. Describa cómo la LEA cumple con los requisitos para gastar el 20 por ciento de la </w:t>
      </w:r>
      <w:r>
        <w:rPr>
          <w:b/>
          <w:bCs/>
          <w:color w:val="000000"/>
          <w:szCs w:val="20"/>
          <w:u w:val="single"/>
          <w:lang w:val="es-ES"/>
        </w:rPr>
        <w:t>asignación</w:t>
      </w:r>
      <w:r>
        <w:rPr>
          <w:color w:val="000000"/>
          <w:szCs w:val="20"/>
          <w:lang w:val="es-ES"/>
        </w:rPr>
        <w:t> </w:t>
      </w:r>
      <w:r>
        <w:rPr>
          <w:b/>
          <w:bCs/>
          <w:color w:val="000000"/>
          <w:szCs w:val="20"/>
          <w:u w:val="single"/>
          <w:lang w:val="es-ES"/>
        </w:rPr>
        <w:t>total de ESSER 3.0</w:t>
      </w:r>
      <w:r>
        <w:rPr>
          <w:color w:val="000000"/>
          <w:szCs w:val="20"/>
          <w:lang w:val="es-ES"/>
        </w:rPr>
        <w:t> en servicios directos a los estudiantes para abordar la pérdida de aprendizaje, o indique la participación en TN ALL Corps.</w:t>
      </w:r>
    </w:p>
    <w:tbl>
      <w:tblPr>
        <w:tblW w:w="0" w:type="auto"/>
        <w:tblCellMar>
          <w:left w:w="0" w:type="dxa"/>
          <w:right w:w="0" w:type="dxa"/>
        </w:tblCellMar>
        <w:tblLook w:val="04A0" w:firstRow="1" w:lastRow="0" w:firstColumn="1" w:lastColumn="0" w:noHBand="0" w:noVBand="1"/>
      </w:tblPr>
      <w:tblGrid>
        <w:gridCol w:w="10060"/>
      </w:tblGrid>
      <w:tr w:rsidR="001A20B8" w14:paraId="5A6F48FC"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6D5C01" w14:textId="77777777" w:rsidR="001A20B8" w:rsidRDefault="001A20B8">
            <w:pPr>
              <w:pStyle w:val="cm110"/>
              <w:spacing w:before="0" w:beforeAutospacing="0" w:after="190" w:afterAutospacing="0" w:line="257" w:lineRule="atLeast"/>
              <w:rPr>
                <w:rFonts w:ascii="Open Sans" w:hAnsi="Open Sans" w:cs="Open Sans"/>
              </w:rPr>
            </w:pPr>
            <w:r>
              <w:rPr>
                <w:rFonts w:ascii="Open Sans" w:hAnsi="Open Sans" w:cs="Open Sans"/>
                <w:color w:val="000000"/>
                <w:sz w:val="20"/>
                <w:szCs w:val="20"/>
                <w:lang w:val="es-ES"/>
              </w:rPr>
              <w:t>Con el fin de cumplir con los requisitos de gastar el 20% de ESSER 3.0 en servicios directos a los estudiantes para abordar la pérdida de aprendizaje, WCSSD ha financiado y continuará financiando varias iniciativas. La escuela de verano y la tutoría después de la escuela abordarán la pérdida de aprendizaje de los estudiantes al permitirles recibir ayuda, instrucción y créditos adicionales. Las reducciones en el aula mediante la adición de maestros / aulas adicionales también han permitido clases más pequeñas y proporciones más pequeñas de maestros / estudiantes. Los puestos de asistente educativo se han agregado y continúan siendo agregados para proporcionar a los estudiantes ayuda adicional.</w:t>
            </w:r>
          </w:p>
        </w:tc>
      </w:tr>
    </w:tbl>
    <w:p w14:paraId="7A4FD558" w14:textId="77777777" w:rsidR="001A20B8" w:rsidRDefault="001A20B8" w:rsidP="001A20B8">
      <w:pPr>
        <w:pStyle w:val="cm110"/>
        <w:spacing w:before="0" w:beforeAutospacing="0" w:after="190" w:afterAutospacing="0" w:line="257" w:lineRule="atLeast"/>
        <w:rPr>
          <w:rFonts w:ascii="Open Sans" w:hAnsi="Open Sans" w:cs="Open Sans"/>
          <w:color w:val="000000"/>
          <w:sz w:val="27"/>
          <w:szCs w:val="27"/>
        </w:rPr>
      </w:pPr>
      <w:r>
        <w:rPr>
          <w:rFonts w:ascii="Open Sans" w:hAnsi="Open Sans" w:cs="Open Sans"/>
          <w:b/>
          <w:bCs/>
          <w:i/>
          <w:iCs/>
          <w:color w:val="000000"/>
          <w:sz w:val="20"/>
          <w:szCs w:val="20"/>
        </w:rPr>
        <w:t> </w:t>
      </w:r>
    </w:p>
    <w:p w14:paraId="63B87D17" w14:textId="77777777" w:rsidR="001A20B8" w:rsidRDefault="001A20B8" w:rsidP="001A20B8">
      <w:pPr>
        <w:pStyle w:val="Heading2"/>
        <w:spacing w:line="214" w:lineRule="atLeast"/>
        <w:rPr>
          <w:iCs/>
          <w:color w:val="000000"/>
          <w:szCs w:val="20"/>
          <w:lang w:val="es-ES"/>
        </w:rPr>
      </w:pPr>
      <w:r>
        <w:rPr>
          <w:i w:val="0"/>
          <w:iCs/>
          <w:color w:val="000000"/>
          <w:szCs w:val="20"/>
          <w:lang w:val="es-ES"/>
        </w:rPr>
        <w:t>Participación de la familia y la comunidad</w:t>
      </w:r>
    </w:p>
    <w:p w14:paraId="37A3B964"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1. Describa cómo la LEA ha seguido participando en consultas significativas con las partes interesadas en el desarrollo del plan revisado.</w:t>
      </w:r>
    </w:p>
    <w:tbl>
      <w:tblPr>
        <w:tblW w:w="0" w:type="auto"/>
        <w:tblCellMar>
          <w:left w:w="0" w:type="dxa"/>
          <w:right w:w="0" w:type="dxa"/>
        </w:tblCellMar>
        <w:tblLook w:val="04A0" w:firstRow="1" w:lastRow="0" w:firstColumn="1" w:lastColumn="0" w:noHBand="0" w:noVBand="1"/>
      </w:tblPr>
      <w:tblGrid>
        <w:gridCol w:w="10060"/>
      </w:tblGrid>
      <w:tr w:rsidR="001A20B8" w14:paraId="2BD8E503"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0C0999" w14:textId="77777777" w:rsidR="001A20B8" w:rsidRDefault="001A20B8">
            <w:pPr>
              <w:spacing w:line="214" w:lineRule="atLeast"/>
              <w:rPr>
                <w:szCs w:val="20"/>
              </w:rPr>
            </w:pPr>
            <w:r>
              <w:rPr>
                <w:szCs w:val="20"/>
                <w:lang w:val="es-ES"/>
              </w:rPr>
              <w:t>WCSS se involucra significativamente con todas las partes interesadas a través de diversas formas de medios que incluyen, entre otros, redes sociales, reuniones de participación familiar en persona / virtuales, horas de oficina virtuales / en persona y reuniones comunitarias. WCSSD continuará proporcionando todas estas vías de participación de las partes interesadas para la financiación federal. Algunos grupos adicionales a los que continuaremos apuntando incluyen, entre otros, familias minoritarias, familias que incluyen estudiantes con discapacidades o que están encarcelados, o que están representados sin hogar dentro de nuestro distrito y negocios comunitarios como bancos, restaurantes, etc. WCSSD continuará incluyendo significativamente a todas las partes interesadas al proporcionar comunicación continua con todos los grupos a través de medios digitales como las redes sociales y las plataformas en línea donde se proporcionarán encuestas, información actualizada y otra comunicación en vías de idioma nativo fáciles de leer. WCSSD continuará utilizando otros medios para buscar aportes de todos los grupos de partes interesadas al proporcionar una vía para la entrada y la comunicación a través de Parent Reach y el sistema de todas las llamadas.</w:t>
            </w:r>
          </w:p>
        </w:tc>
      </w:tr>
    </w:tbl>
    <w:p w14:paraId="3AD660EF" w14:textId="77777777" w:rsidR="001A20B8" w:rsidRDefault="001A20B8" w:rsidP="001A20B8">
      <w:pPr>
        <w:spacing w:line="214" w:lineRule="atLeast"/>
        <w:rPr>
          <w:color w:val="000000"/>
          <w:szCs w:val="20"/>
        </w:rPr>
      </w:pPr>
      <w:r>
        <w:rPr>
          <w:color w:val="000000"/>
          <w:szCs w:val="20"/>
        </w:rPr>
        <w:t> </w:t>
      </w:r>
    </w:p>
    <w:p w14:paraId="4D51772E"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2. Describa cómo la LEA involucró al menos al 10 por ciento del total de partes interesadas involucradas en comparación con las respuestas recibidas en el desarrollo del plan revisado.</w:t>
      </w:r>
    </w:p>
    <w:tbl>
      <w:tblPr>
        <w:tblW w:w="0" w:type="auto"/>
        <w:tblCellMar>
          <w:left w:w="0" w:type="dxa"/>
          <w:right w:w="0" w:type="dxa"/>
        </w:tblCellMar>
        <w:tblLook w:val="04A0" w:firstRow="1" w:lastRow="0" w:firstColumn="1" w:lastColumn="0" w:noHBand="0" w:noVBand="1"/>
      </w:tblPr>
      <w:tblGrid>
        <w:gridCol w:w="10060"/>
      </w:tblGrid>
      <w:tr w:rsidR="001A20B8" w14:paraId="058C62C8"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560F0E" w14:textId="77777777" w:rsidR="001A20B8" w:rsidRDefault="001A20B8">
            <w:pPr>
              <w:spacing w:line="214" w:lineRule="atLeast"/>
              <w:rPr>
                <w:szCs w:val="20"/>
              </w:rPr>
            </w:pPr>
            <w:r>
              <w:rPr>
                <w:szCs w:val="20"/>
                <w:lang w:val="es-ES"/>
              </w:rPr>
              <w:t>WCSSD involucró y continúa involucrando a las partes interesadas y recibiendo respuestas de ellas al menos del 10%. Los estudiantes, las familias, los funcionarios electos y los miembros de la junta escolar, los administradores escolares y del distrito, los directores, los líderes escolares, otros educadores, el personal escolar y los estudiantes con discapacidades proporcionan respuestas a nuestra comunicación sobre el financiamiento de ESSER. Se han realizado encuestas digitales durante el horario escolar y las encuestas comunitarias se han completado y continúan completando a través del sitio web de la escuela, el correo electrónico y la jornada de puertas abiertas. Las horas de oficina abiertas proporcionan tiempo para la retroalimentación de los accionistas. Las discusiones de las reuniones de la junta escolar, las reuniones de liderazgo, los PLC, las reuniones de administradores del distrito, las reuniones de profesores y personal, y las reuniones del distrito con supervisores y maestros de educación especial proporcionan varias vías para las respuestas de las partes interesadas.</w:t>
            </w:r>
          </w:p>
        </w:tc>
      </w:tr>
    </w:tbl>
    <w:p w14:paraId="75B64C33" w14:textId="77777777" w:rsidR="001A20B8" w:rsidRDefault="001A20B8" w:rsidP="001A20B8">
      <w:pPr>
        <w:spacing w:line="214" w:lineRule="atLeast"/>
        <w:rPr>
          <w:color w:val="000000"/>
          <w:szCs w:val="20"/>
        </w:rPr>
      </w:pPr>
      <w:r>
        <w:rPr>
          <w:color w:val="000000"/>
          <w:szCs w:val="20"/>
        </w:rPr>
        <w:t> </w:t>
      </w:r>
    </w:p>
    <w:p w14:paraId="6D962D8C"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3. Describa cómo la LEA involucró a una representación de una población diversa de partes interesadas.</w:t>
      </w:r>
    </w:p>
    <w:tbl>
      <w:tblPr>
        <w:tblW w:w="0" w:type="auto"/>
        <w:tblCellMar>
          <w:left w:w="0" w:type="dxa"/>
          <w:right w:w="0" w:type="dxa"/>
        </w:tblCellMar>
        <w:tblLook w:val="04A0" w:firstRow="1" w:lastRow="0" w:firstColumn="1" w:lastColumn="0" w:noHBand="0" w:noVBand="1"/>
      </w:tblPr>
      <w:tblGrid>
        <w:gridCol w:w="10060"/>
      </w:tblGrid>
      <w:tr w:rsidR="001A20B8" w14:paraId="7AB56AA1"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5E38CA" w14:textId="77777777" w:rsidR="001A20B8" w:rsidRDefault="001A20B8">
            <w:pPr>
              <w:spacing w:line="214" w:lineRule="atLeast"/>
              <w:rPr>
                <w:szCs w:val="20"/>
              </w:rPr>
            </w:pPr>
            <w:r>
              <w:rPr>
                <w:szCs w:val="20"/>
                <w:lang w:val="es-ES"/>
              </w:rPr>
              <w:t xml:space="preserve">El equipo de partes interesadas de ESSER se reúne periódicamente para estudiar las aportaciones pasadas y actuales de las partes interesadas. Después de observar la demografía y la composición general de WCSSD y la comunidad, el equipo de ESSER determina varios modos de contacto para llegar a la diversa población de </w:t>
            </w:r>
            <w:r>
              <w:rPr>
                <w:szCs w:val="20"/>
                <w:lang w:val="es-ES"/>
              </w:rPr>
              <w:lastRenderedPageBreak/>
              <w:t>partes interesadas. En el caso de que un área de partes interesadas no estuviera adecuadamente representada con respuestas, el equipo diseña planes para comunicarse con otras formas de comunicación con el fin de buscar retroalimentación. Por ejemplo, nuestro director de ESL ha traducido documentos de ESSER a otros idiomas para involucrar a los padres de estudiantes de ESL y nuestro director de educación especial ha solicitado la opinión de los estudiantes y padres en nuestros programas de educación especial.</w:t>
            </w:r>
          </w:p>
        </w:tc>
      </w:tr>
    </w:tbl>
    <w:p w14:paraId="1CC8AD1C" w14:textId="77777777" w:rsidR="001A20B8" w:rsidRDefault="001A20B8" w:rsidP="001A20B8">
      <w:pPr>
        <w:spacing w:line="214" w:lineRule="atLeast"/>
        <w:rPr>
          <w:color w:val="000000"/>
          <w:szCs w:val="20"/>
        </w:rPr>
      </w:pPr>
      <w:r>
        <w:rPr>
          <w:color w:val="000000"/>
          <w:szCs w:val="20"/>
        </w:rPr>
        <w:lastRenderedPageBreak/>
        <w:t> </w:t>
      </w:r>
    </w:p>
    <w:p w14:paraId="59A5C025" w14:textId="77777777" w:rsidR="001A20B8" w:rsidRDefault="001A20B8" w:rsidP="001A20B8">
      <w:pPr>
        <w:pStyle w:val="ListParagraph"/>
        <w:spacing w:line="214" w:lineRule="atLeast"/>
        <w:ind w:left="187" w:hanging="187"/>
        <w:rPr>
          <w:color w:val="000000"/>
          <w:szCs w:val="20"/>
          <w:lang w:val="es-ES"/>
        </w:rPr>
      </w:pPr>
      <w:r>
        <w:rPr>
          <w:color w:val="000000"/>
          <w:szCs w:val="20"/>
          <w:lang w:val="es-ES"/>
        </w:rPr>
        <w:t>4. Describa cómo la LEA utilizó múltiples modos de participación (como encuestas, reuniones programadas en persona o virtuales y ayuntamientos) para obtener aportes de las partes interesadas en el desarrollo del plan revisado.</w:t>
      </w:r>
    </w:p>
    <w:tbl>
      <w:tblPr>
        <w:tblW w:w="0" w:type="auto"/>
        <w:tblCellMar>
          <w:left w:w="0" w:type="dxa"/>
          <w:right w:w="0" w:type="dxa"/>
        </w:tblCellMar>
        <w:tblLook w:val="04A0" w:firstRow="1" w:lastRow="0" w:firstColumn="1" w:lastColumn="0" w:noHBand="0" w:noVBand="1"/>
      </w:tblPr>
      <w:tblGrid>
        <w:gridCol w:w="10060"/>
      </w:tblGrid>
      <w:tr w:rsidR="001A20B8" w14:paraId="30121106" w14:textId="77777777" w:rsidTr="001A20B8">
        <w:trPr>
          <w:trHeight w:val="720"/>
        </w:trPr>
        <w:tc>
          <w:tcPr>
            <w:tcW w:w="100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C93564" w14:textId="77777777" w:rsidR="001A20B8" w:rsidRDefault="001A20B8">
            <w:pPr>
              <w:spacing w:line="214" w:lineRule="atLeast"/>
              <w:rPr>
                <w:szCs w:val="20"/>
              </w:rPr>
            </w:pPr>
            <w:r>
              <w:rPr>
                <w:szCs w:val="20"/>
                <w:lang w:val="es-ES"/>
              </w:rPr>
              <w:t>El Distrito Escolar Especial de West Carroll ha dedicado un espacio en el sitio web y la página de redes sociales para las subvenciones ESSER. Hemos cargado la Evaluación de necesidades, el Plan de participación comunitaria, el Regreso seguro a la instrucción en persona y el Plan público: Gastos de ayuda federal cuando se indica. Estamos dando actualizaciones en reuniones regulares, como reuniones de la Junta Escolar y reuniones de administradores. WCSSD continuará participando significativamente con todas las partes interesadas a través de diversas formas de medios, incluidos, entre otros, las redes sociales, las reuniones de participación familiar en persona / virtuales, las horas de oficina virtuales / en persona y las reuniones comunitarias. WCSSD continúa proporcionando todas estas vías de participación de las partes interesadas para la financiación federal. Algunos grupos adicionales a los que nos dirigiremos incluyen, entre otros, familias minoritarias, familias que incluyen estudiantes con discapacidades o que están encarcelados, o que están representados sin hogar dentro de nuestro distrito y negocios comunitarios como bancos, restaurantes, etc. WCSSD continuará incluyendo significativamente a todas las partes interesadas al proporcionar comunicación continua con todos los grupos a través de medios digitales como las redes sociales y las plataformas en línea donde se proporcionarán encuestas, información actualizada y otras comunicaciones en vías fáciles de leer. WCSSD continuará utilizando otros medios para buscar aportes de todos los grupos de partes interesadas al proporcionar una vía para el aporte y la comunicación a través de Parent Reach y el sistema de todas las llamadas también.</w:t>
            </w:r>
          </w:p>
        </w:tc>
      </w:tr>
    </w:tbl>
    <w:p w14:paraId="4023E8E6" w14:textId="77777777" w:rsidR="001A20B8" w:rsidRDefault="001A20B8" w:rsidP="001A20B8">
      <w:pPr>
        <w:spacing w:line="214" w:lineRule="atLeast"/>
        <w:rPr>
          <w:color w:val="000000"/>
          <w:szCs w:val="20"/>
        </w:rPr>
      </w:pPr>
      <w:r>
        <w:rPr>
          <w:color w:val="000000"/>
          <w:szCs w:val="20"/>
        </w:rPr>
        <w:t> </w:t>
      </w:r>
    </w:p>
    <w:p w14:paraId="19199543" w14:textId="77777777" w:rsidR="001A20B8" w:rsidRDefault="001A20B8" w:rsidP="009C42E6">
      <w:pPr>
        <w:pStyle w:val="Title"/>
        <w:rPr>
          <w:rStyle w:val="TitleChar"/>
          <w:b/>
          <w:bCs/>
        </w:rPr>
      </w:pPr>
    </w:p>
    <w:p w14:paraId="332FBF29" w14:textId="77777777" w:rsidR="001A20B8" w:rsidRDefault="001A20B8" w:rsidP="009C42E6">
      <w:pPr>
        <w:pStyle w:val="Title"/>
        <w:rPr>
          <w:rStyle w:val="TitleChar"/>
          <w:b/>
          <w:bCs/>
        </w:rPr>
      </w:pPr>
    </w:p>
    <w:p w14:paraId="5B7A5B6C" w14:textId="77777777" w:rsidR="001A20B8" w:rsidRDefault="001A20B8" w:rsidP="009C42E6">
      <w:pPr>
        <w:pStyle w:val="Title"/>
        <w:rPr>
          <w:rStyle w:val="TitleChar"/>
          <w:b/>
          <w:bCs/>
        </w:rPr>
      </w:pPr>
    </w:p>
    <w:p w14:paraId="606E74D3" w14:textId="77777777" w:rsidR="001A20B8" w:rsidRDefault="001A20B8" w:rsidP="009C42E6">
      <w:pPr>
        <w:pStyle w:val="Title"/>
        <w:rPr>
          <w:rStyle w:val="TitleChar"/>
          <w:b/>
          <w:bCs/>
        </w:rPr>
      </w:pPr>
    </w:p>
    <w:p w14:paraId="1301071D" w14:textId="77777777" w:rsidR="001A20B8" w:rsidRDefault="001A20B8" w:rsidP="009C42E6">
      <w:pPr>
        <w:pStyle w:val="Title"/>
        <w:rPr>
          <w:rStyle w:val="TitleChar"/>
          <w:b/>
          <w:bCs/>
        </w:rPr>
      </w:pPr>
    </w:p>
    <w:p w14:paraId="023AAEDE" w14:textId="77777777" w:rsidR="001A20B8" w:rsidRDefault="001A20B8" w:rsidP="009C42E6">
      <w:pPr>
        <w:pStyle w:val="Title"/>
        <w:rPr>
          <w:rStyle w:val="TitleChar"/>
          <w:b/>
          <w:bCs/>
        </w:rPr>
      </w:pPr>
    </w:p>
    <w:p w14:paraId="13EFA3A9" w14:textId="77777777" w:rsidR="001A20B8" w:rsidRDefault="001A20B8" w:rsidP="009C42E6">
      <w:pPr>
        <w:pStyle w:val="Title"/>
        <w:rPr>
          <w:rStyle w:val="TitleChar"/>
          <w:b/>
          <w:bCs/>
        </w:rPr>
      </w:pPr>
    </w:p>
    <w:p w14:paraId="0CFCD700" w14:textId="77777777" w:rsidR="001A20B8" w:rsidRDefault="001A20B8" w:rsidP="009C42E6">
      <w:pPr>
        <w:pStyle w:val="Title"/>
        <w:rPr>
          <w:rStyle w:val="TitleChar"/>
          <w:b/>
          <w:bCs/>
        </w:rPr>
      </w:pPr>
    </w:p>
    <w:p w14:paraId="1C016BE4" w14:textId="77777777" w:rsidR="001A20B8" w:rsidRDefault="001A20B8" w:rsidP="009C42E6">
      <w:pPr>
        <w:pStyle w:val="Title"/>
        <w:rPr>
          <w:rStyle w:val="TitleChar"/>
          <w:b/>
          <w:bCs/>
        </w:rPr>
      </w:pPr>
    </w:p>
    <w:p w14:paraId="074B3203" w14:textId="77777777" w:rsidR="001A20B8" w:rsidRDefault="001A20B8" w:rsidP="009C42E6">
      <w:pPr>
        <w:pStyle w:val="Title"/>
        <w:rPr>
          <w:rStyle w:val="TitleChar"/>
          <w:b/>
          <w:bCs/>
        </w:rPr>
      </w:pPr>
    </w:p>
    <w:p w14:paraId="5774B54F" w14:textId="357FEA45" w:rsidR="00BB17D8" w:rsidRDefault="001A7FA9" w:rsidP="009C42E6">
      <w:pPr>
        <w:pStyle w:val="Title"/>
        <w:rPr>
          <w:b w:val="0"/>
          <w:bCs w:val="0"/>
        </w:rPr>
      </w:pPr>
      <w:bookmarkStart w:id="0" w:name="_GoBack"/>
      <w:bookmarkEnd w:id="0"/>
      <w:r w:rsidRPr="0A515DDC">
        <w:rPr>
          <w:rStyle w:val="TitleChar"/>
          <w:b/>
          <w:bCs/>
        </w:rPr>
        <w:lastRenderedPageBreak/>
        <w:t>ESSER 3.0 Public Plan for Remaining Funds</w:t>
      </w:r>
      <w:r>
        <w:br/>
      </w:r>
      <w:r w:rsidR="00BB17D8">
        <w:rPr>
          <w:b w:val="0"/>
          <w:bCs w:val="0"/>
        </w:rPr>
        <w:t>Addendum Guidance</w:t>
      </w:r>
    </w:p>
    <w:p w14:paraId="65717B29" w14:textId="389ED875"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2022-23</w:t>
      </w:r>
    </w:p>
    <w:p w14:paraId="7EB2D353" w14:textId="317A691C" w:rsidR="00BB17D8" w:rsidRPr="00F94EE8" w:rsidRDefault="00BB17D8" w:rsidP="009C42E6">
      <w:bookmarkStart w:id="1"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1"/>
    <w:p w14:paraId="2D6210B0" w14:textId="7038C5A9"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(Feb.</w:t>
      </w:r>
      <w:r w:rsidR="6A8D8C95">
        <w:t xml:space="preserve"> 15</w:t>
      </w:r>
      <w:r w:rsidR="009866FC">
        <w:t xml:space="preserve"> </w:t>
      </w:r>
      <w:r w:rsidR="6A8D8C95">
        <w:t>and Sept</w:t>
      </w:r>
      <w:r w:rsidR="00DF0848">
        <w:t>.</w:t>
      </w:r>
      <w:r w:rsidR="6A8D8C95">
        <w:t xml:space="preserve"> 15</w:t>
      </w:r>
      <w:r w:rsidR="2B4C5174">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333F2EA9" w:rsidR="00BB17D8" w:rsidRPr="0069139E" w:rsidRDefault="227629F8" w:rsidP="009C42E6">
      <w:pPr>
        <w:pStyle w:val="ListParagraph"/>
        <w:numPr>
          <w:ilvl w:val="0"/>
          <w:numId w:val="7"/>
        </w:numPr>
      </w:pPr>
      <w:r>
        <w:t xml:space="preserve">On the </w:t>
      </w:r>
      <w:r w:rsidR="323A3F82">
        <w:t>summary page</w:t>
      </w:r>
      <w:r>
        <w:t>, the amounts should total the carryover amount for FY23 for each relief fund: ESSER 2.0, and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2" w:name="_Hlk106008268"/>
      <w:r w:rsidR="00670931" w:rsidRPr="00812F48">
        <w:rPr>
          <w:rFonts w:eastAsia="Open Sans"/>
          <w:color w:val="000000" w:themeColor="text1"/>
          <w:szCs w:val="20"/>
        </w:rPr>
        <w:t>and when making any significant revisions or updates to the plan.</w:t>
      </w:r>
      <w:bookmarkEnd w:id="2"/>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0EAF4ED9" w:rsidR="009D26F8" w:rsidRPr="00CC1B52" w:rsidRDefault="009D26F8" w:rsidP="009C42E6">
      <w:pPr>
        <w:tabs>
          <w:tab w:val="right" w:pos="10080"/>
        </w:tabs>
      </w:pPr>
      <w:r w:rsidRPr="00CC1B52">
        <w:t>LEA</w:t>
      </w:r>
      <w:r w:rsidR="00CC1B52" w:rsidRPr="00CC1B52">
        <w:t xml:space="preserve"> Name:</w:t>
      </w:r>
      <w:r w:rsidR="00796CEB">
        <w:t xml:space="preserve"> West Carroll Special School District</w:t>
      </w:r>
      <w:r w:rsidR="00EE7B46" w:rsidRPr="00F94838">
        <w:rPr>
          <w:u w:val="single"/>
        </w:rPr>
        <w:tab/>
      </w:r>
    </w:p>
    <w:p w14:paraId="67E88CBF" w14:textId="0EDA6F38" w:rsidR="00CC1B52" w:rsidRPr="00CC1B52" w:rsidRDefault="00CC1B52" w:rsidP="009C42E6">
      <w:pPr>
        <w:tabs>
          <w:tab w:val="right" w:pos="10080"/>
        </w:tabs>
      </w:pPr>
      <w:r w:rsidRPr="00CC1B52">
        <w:t>D</w:t>
      </w:r>
      <w:r w:rsidR="00EE7B46">
        <w:t>irector of Schools (Name)</w:t>
      </w:r>
      <w:r w:rsidRPr="00CC1B52">
        <w:t>:</w:t>
      </w:r>
      <w:r w:rsidR="00796CEB">
        <w:t xml:space="preserve"> Preston Caldwell</w:t>
      </w:r>
      <w:r w:rsidR="00C44922" w:rsidRPr="00420537">
        <w:rPr>
          <w:u w:val="single"/>
        </w:rPr>
        <w:tab/>
      </w:r>
    </w:p>
    <w:p w14:paraId="2EF5F527" w14:textId="4FE26B03" w:rsidR="00CC1B52" w:rsidRPr="00CC1B52" w:rsidRDefault="368E2259" w:rsidP="009C42E6">
      <w:pPr>
        <w:tabs>
          <w:tab w:val="right" w:pos="10080"/>
        </w:tabs>
      </w:pPr>
      <w:r>
        <w:t>ESSER Director (Name):</w:t>
      </w:r>
      <w:r w:rsidR="00796CEB">
        <w:t xml:space="preserve"> Kellie Medina Rollins</w:t>
      </w:r>
      <w:r w:rsidR="00EE7B46" w:rsidRPr="00C44922">
        <w:rPr>
          <w:u w:val="single"/>
        </w:rPr>
        <w:tab/>
      </w:r>
    </w:p>
    <w:p w14:paraId="443F9C13" w14:textId="4395CE3E" w:rsidR="00CC1B52" w:rsidRPr="00CC1B52" w:rsidRDefault="00CC1B52" w:rsidP="009C42E6">
      <w:pPr>
        <w:tabs>
          <w:tab w:val="right" w:pos="10080"/>
        </w:tabs>
      </w:pPr>
      <w:r w:rsidRPr="00CC1B52">
        <w:t>Address:</w:t>
      </w:r>
      <w:r w:rsidR="00796CEB">
        <w:t xml:space="preserve"> 1415 Hwy 77 Atwood TN 38220</w:t>
      </w:r>
      <w:r w:rsidR="00EE7B46" w:rsidRPr="00F94838">
        <w:rPr>
          <w:u w:val="single"/>
        </w:rPr>
        <w:tab/>
      </w:r>
    </w:p>
    <w:p w14:paraId="7085A588" w14:textId="53816613" w:rsidR="00CC1B52" w:rsidRPr="00CC1B52" w:rsidRDefault="00CC1B52" w:rsidP="009C42E6">
      <w:pPr>
        <w:tabs>
          <w:tab w:val="right" w:pos="5760"/>
          <w:tab w:val="right" w:pos="10080"/>
        </w:tabs>
      </w:pPr>
      <w:r w:rsidRPr="00CC1B52">
        <w:t>Phone #:</w:t>
      </w:r>
      <w:r w:rsidR="00796CEB">
        <w:t xml:space="preserve"> (731)662-4200</w:t>
      </w:r>
      <w:r w:rsidR="00EE7B46" w:rsidRPr="00F94838">
        <w:rPr>
          <w:u w:val="single"/>
        </w:rPr>
        <w:tab/>
      </w:r>
      <w:r w:rsidR="00F94838" w:rsidRPr="00F94838">
        <w:t xml:space="preserve"> </w:t>
      </w:r>
      <w:r w:rsidRPr="00CC1B52">
        <w:t>District Website:</w:t>
      </w:r>
      <w:r w:rsidR="00796CEB">
        <w:t xml:space="preserve"> wcssd.org</w:t>
      </w:r>
      <w:r w:rsidR="00EE7B46" w:rsidRPr="00F94838">
        <w:rPr>
          <w:u w:val="single"/>
        </w:rPr>
        <w:tab/>
      </w:r>
    </w:p>
    <w:p w14:paraId="34607CA6" w14:textId="370E5345" w:rsidR="009D26F8" w:rsidRPr="00CC1B52" w:rsidRDefault="009C42E6" w:rsidP="009C42E6">
      <w:pPr>
        <w:tabs>
          <w:tab w:val="right" w:pos="10080"/>
        </w:tabs>
      </w:pPr>
      <w:r>
        <w:t xml:space="preserve">Addendum </w:t>
      </w:r>
      <w:r w:rsidR="009D26F8" w:rsidRPr="00CC1B52">
        <w:t>Date:</w:t>
      </w:r>
      <w:r w:rsidR="00796CEB">
        <w:t xml:space="preserve"> 9/12/22</w:t>
      </w:r>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3E0CDC39" w:rsidR="00EE7B46" w:rsidRDefault="00FA17B9" w:rsidP="009C42E6">
            <w:pPr>
              <w:pStyle w:val="NoSpacing"/>
              <w:spacing w:line="259" w:lineRule="auto"/>
            </w:pPr>
            <w:r>
              <w:t>801</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6C44AA05" w:rsidR="00EE7B46" w:rsidRDefault="00796CEB" w:rsidP="009C42E6">
            <w:pPr>
              <w:pStyle w:val="NoSpacing"/>
              <w:spacing w:line="259" w:lineRule="auto"/>
            </w:pPr>
            <w:r>
              <w:t>PreK-12</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1DDBA2C9" w:rsidR="00EE7B46" w:rsidRDefault="00796CEB" w:rsidP="009C42E6">
            <w:pPr>
              <w:pStyle w:val="NoSpacing"/>
              <w:spacing w:line="259" w:lineRule="auto"/>
            </w:pPr>
            <w:r>
              <w:t>3</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2698A99D" w:rsidR="00EE7B46" w:rsidRDefault="00FA17B9" w:rsidP="009C42E6">
            <w:pPr>
              <w:pStyle w:val="NoSpacing"/>
              <w:spacing w:line="259" w:lineRule="auto"/>
            </w:pPr>
            <w:r>
              <w:t>165,005.01</w:t>
            </w:r>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3F00DDCD" w:rsidR="00EE7B46" w:rsidRDefault="00FA17B9" w:rsidP="009C42E6">
            <w:pPr>
              <w:pStyle w:val="NoSpacing"/>
              <w:spacing w:line="259" w:lineRule="auto"/>
            </w:pPr>
            <w:r>
              <w:t>1,749,915.66</w:t>
            </w:r>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1413A4F5" w:rsidR="00EE7B46" w:rsidRDefault="00FA17B9" w:rsidP="009C42E6">
            <w:pPr>
              <w:pStyle w:val="NoSpacing"/>
              <w:spacing w:line="259" w:lineRule="auto"/>
            </w:pPr>
            <w:r>
              <w:t>1,914,920.67</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DD724E">
        <w:trPr>
          <w:trHeight w:val="373"/>
        </w:trPr>
        <w:tc>
          <w:tcPr>
            <w:tcW w:w="1525"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3150"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994"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946"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DD724E">
        <w:trPr>
          <w:trHeight w:val="373"/>
        </w:trPr>
        <w:tc>
          <w:tcPr>
            <w:tcW w:w="1525"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3150" w:type="dxa"/>
            <w:vAlign w:val="center"/>
          </w:tcPr>
          <w:p w14:paraId="496B4DA3" w14:textId="02C88D99" w:rsidR="00910F61" w:rsidRDefault="00910F61" w:rsidP="001F769C">
            <w:pPr>
              <w:pStyle w:val="NoSpacing"/>
              <w:spacing w:line="259" w:lineRule="auto"/>
              <w:jc w:val="right"/>
            </w:pPr>
            <w:r w:rsidRPr="402734C5">
              <w:t>Tutoring</w:t>
            </w:r>
          </w:p>
        </w:tc>
        <w:tc>
          <w:tcPr>
            <w:tcW w:w="2994" w:type="dxa"/>
            <w:vAlign w:val="center"/>
          </w:tcPr>
          <w:p w14:paraId="0F32882E" w14:textId="2D25007E" w:rsidR="00910F61" w:rsidRDefault="00910F61" w:rsidP="001F769C">
            <w:pPr>
              <w:pStyle w:val="NoSpacing"/>
              <w:spacing w:line="259" w:lineRule="auto"/>
              <w:jc w:val="right"/>
            </w:pPr>
          </w:p>
        </w:tc>
        <w:tc>
          <w:tcPr>
            <w:tcW w:w="2946" w:type="dxa"/>
            <w:vAlign w:val="center"/>
          </w:tcPr>
          <w:p w14:paraId="734AF5D5" w14:textId="07449F35" w:rsidR="00910F61" w:rsidRDefault="00910F61" w:rsidP="001F769C">
            <w:pPr>
              <w:pStyle w:val="NoSpacing"/>
              <w:spacing w:line="259" w:lineRule="auto"/>
              <w:jc w:val="right"/>
            </w:pPr>
          </w:p>
        </w:tc>
      </w:tr>
      <w:tr w:rsidR="00910F61" w14:paraId="15151B01" w14:textId="77777777" w:rsidTr="00DD724E">
        <w:trPr>
          <w:trHeight w:val="373"/>
        </w:trPr>
        <w:tc>
          <w:tcPr>
            <w:tcW w:w="1525" w:type="dxa"/>
            <w:vMerge/>
            <w:vAlign w:val="center"/>
          </w:tcPr>
          <w:p w14:paraId="5EAB7FF1" w14:textId="77777777" w:rsidR="00910F61" w:rsidRDefault="00910F61" w:rsidP="001F769C">
            <w:pPr>
              <w:pStyle w:val="NoSpacing"/>
              <w:spacing w:line="259" w:lineRule="auto"/>
              <w:jc w:val="right"/>
            </w:pPr>
          </w:p>
        </w:tc>
        <w:tc>
          <w:tcPr>
            <w:tcW w:w="3150" w:type="dxa"/>
            <w:vAlign w:val="center"/>
          </w:tcPr>
          <w:p w14:paraId="32A262DA" w14:textId="0DB4D88A" w:rsidR="00910F61" w:rsidRDefault="00910F61" w:rsidP="001F769C">
            <w:pPr>
              <w:pStyle w:val="NoSpacing"/>
              <w:spacing w:line="259" w:lineRule="auto"/>
              <w:jc w:val="right"/>
            </w:pPr>
            <w:r>
              <w:t>Summer Programming</w:t>
            </w:r>
          </w:p>
        </w:tc>
        <w:tc>
          <w:tcPr>
            <w:tcW w:w="2994" w:type="dxa"/>
            <w:vAlign w:val="center"/>
          </w:tcPr>
          <w:p w14:paraId="152F55CE" w14:textId="2D25007E" w:rsidR="00910F61" w:rsidRDefault="00910F61" w:rsidP="001F769C">
            <w:pPr>
              <w:pStyle w:val="NoSpacing"/>
              <w:spacing w:line="259" w:lineRule="auto"/>
              <w:jc w:val="right"/>
            </w:pPr>
          </w:p>
        </w:tc>
        <w:tc>
          <w:tcPr>
            <w:tcW w:w="2946" w:type="dxa"/>
            <w:vAlign w:val="center"/>
          </w:tcPr>
          <w:p w14:paraId="3CF9586E" w14:textId="425B0DC3" w:rsidR="00910F61" w:rsidRDefault="00DF3C2F" w:rsidP="001F769C">
            <w:pPr>
              <w:pStyle w:val="NoSpacing"/>
              <w:spacing w:line="259" w:lineRule="auto"/>
              <w:jc w:val="right"/>
            </w:pPr>
            <w:r>
              <w:t>68,546.6</w:t>
            </w:r>
            <w:r w:rsidR="00A92CA8">
              <w:t>9</w:t>
            </w:r>
          </w:p>
        </w:tc>
      </w:tr>
      <w:tr w:rsidR="00910F61" w14:paraId="1F5B5A18" w14:textId="77777777" w:rsidTr="00DD724E">
        <w:trPr>
          <w:trHeight w:val="373"/>
        </w:trPr>
        <w:tc>
          <w:tcPr>
            <w:tcW w:w="1525" w:type="dxa"/>
            <w:vMerge/>
            <w:vAlign w:val="center"/>
          </w:tcPr>
          <w:p w14:paraId="6EF638D7" w14:textId="77777777" w:rsidR="00910F61" w:rsidRDefault="00910F61" w:rsidP="001F769C">
            <w:pPr>
              <w:pStyle w:val="NoSpacing"/>
              <w:spacing w:line="259" w:lineRule="auto"/>
              <w:jc w:val="right"/>
            </w:pPr>
          </w:p>
        </w:tc>
        <w:tc>
          <w:tcPr>
            <w:tcW w:w="3150" w:type="dxa"/>
            <w:vAlign w:val="center"/>
          </w:tcPr>
          <w:p w14:paraId="664BD069" w14:textId="48BA86DE" w:rsidR="00910F61" w:rsidRDefault="00910F61" w:rsidP="001F769C">
            <w:pPr>
              <w:pStyle w:val="NoSpacing"/>
              <w:spacing w:line="259" w:lineRule="auto"/>
              <w:jc w:val="right"/>
            </w:pPr>
            <w:r w:rsidRPr="402734C5">
              <w:t>Early Reading</w:t>
            </w:r>
          </w:p>
        </w:tc>
        <w:tc>
          <w:tcPr>
            <w:tcW w:w="2994" w:type="dxa"/>
            <w:vAlign w:val="center"/>
          </w:tcPr>
          <w:p w14:paraId="6429C195" w14:textId="2B636B10" w:rsidR="00910F61" w:rsidRDefault="00910F61" w:rsidP="001F769C">
            <w:pPr>
              <w:pStyle w:val="NoSpacing"/>
              <w:spacing w:line="259" w:lineRule="auto"/>
              <w:jc w:val="right"/>
            </w:pPr>
          </w:p>
        </w:tc>
        <w:tc>
          <w:tcPr>
            <w:tcW w:w="2946" w:type="dxa"/>
            <w:vAlign w:val="center"/>
          </w:tcPr>
          <w:p w14:paraId="61E5BEFD" w14:textId="3D9F30D1" w:rsidR="00910F61" w:rsidRDefault="00910F61" w:rsidP="001F769C">
            <w:pPr>
              <w:pStyle w:val="NoSpacing"/>
              <w:spacing w:line="259" w:lineRule="auto"/>
              <w:jc w:val="right"/>
            </w:pPr>
          </w:p>
        </w:tc>
      </w:tr>
      <w:tr w:rsidR="00910F61" w14:paraId="1BFA27D5" w14:textId="77777777" w:rsidTr="00DD724E">
        <w:trPr>
          <w:trHeight w:val="373"/>
        </w:trPr>
        <w:tc>
          <w:tcPr>
            <w:tcW w:w="1525" w:type="dxa"/>
            <w:vMerge/>
            <w:vAlign w:val="center"/>
          </w:tcPr>
          <w:p w14:paraId="1B95D7D8" w14:textId="77777777" w:rsidR="00910F61" w:rsidRDefault="00910F61" w:rsidP="001F769C">
            <w:pPr>
              <w:pStyle w:val="NoSpacing"/>
              <w:spacing w:line="259" w:lineRule="auto"/>
              <w:jc w:val="right"/>
            </w:pPr>
          </w:p>
        </w:tc>
        <w:tc>
          <w:tcPr>
            <w:tcW w:w="3150" w:type="dxa"/>
            <w:vAlign w:val="center"/>
          </w:tcPr>
          <w:p w14:paraId="4F4C0CE1" w14:textId="243C3455" w:rsidR="00910F61" w:rsidRDefault="00910F61" w:rsidP="001F769C">
            <w:pPr>
              <w:pStyle w:val="NoSpacing"/>
              <w:spacing w:line="259" w:lineRule="auto"/>
              <w:jc w:val="right"/>
            </w:pPr>
            <w:r>
              <w:t>Interventionists</w:t>
            </w:r>
          </w:p>
        </w:tc>
        <w:tc>
          <w:tcPr>
            <w:tcW w:w="2994" w:type="dxa"/>
            <w:vAlign w:val="center"/>
          </w:tcPr>
          <w:p w14:paraId="30F51E89" w14:textId="4C2566B5" w:rsidR="00910F61" w:rsidRDefault="00910F61" w:rsidP="001F769C">
            <w:pPr>
              <w:pStyle w:val="NoSpacing"/>
              <w:spacing w:line="259" w:lineRule="auto"/>
              <w:jc w:val="right"/>
            </w:pPr>
          </w:p>
        </w:tc>
        <w:tc>
          <w:tcPr>
            <w:tcW w:w="2946" w:type="dxa"/>
            <w:vAlign w:val="center"/>
          </w:tcPr>
          <w:p w14:paraId="405B3D9F" w14:textId="1948C4FB" w:rsidR="00910F61" w:rsidRDefault="00BD09C5" w:rsidP="001F769C">
            <w:pPr>
              <w:pStyle w:val="NoSpacing"/>
              <w:spacing w:line="259" w:lineRule="auto"/>
              <w:jc w:val="right"/>
            </w:pPr>
            <w:r>
              <w:t>68,554.00</w:t>
            </w:r>
          </w:p>
        </w:tc>
      </w:tr>
      <w:tr w:rsidR="00910F61" w14:paraId="36525F67" w14:textId="77777777" w:rsidTr="00DD724E">
        <w:trPr>
          <w:trHeight w:val="373"/>
        </w:trPr>
        <w:tc>
          <w:tcPr>
            <w:tcW w:w="1525" w:type="dxa"/>
            <w:vMerge/>
            <w:vAlign w:val="center"/>
          </w:tcPr>
          <w:p w14:paraId="5AE33D7A" w14:textId="77777777" w:rsidR="00910F61" w:rsidRDefault="00910F61" w:rsidP="001F769C">
            <w:pPr>
              <w:pStyle w:val="NoSpacing"/>
              <w:spacing w:line="259" w:lineRule="auto"/>
              <w:jc w:val="right"/>
            </w:pPr>
          </w:p>
        </w:tc>
        <w:tc>
          <w:tcPr>
            <w:tcW w:w="3150" w:type="dxa"/>
            <w:vAlign w:val="center"/>
          </w:tcPr>
          <w:p w14:paraId="6A0A2DFF" w14:textId="4992435D" w:rsidR="00910F61" w:rsidRDefault="00910F61" w:rsidP="001F769C">
            <w:pPr>
              <w:pStyle w:val="NoSpacing"/>
              <w:spacing w:line="259" w:lineRule="auto"/>
              <w:jc w:val="right"/>
            </w:pPr>
            <w:r w:rsidRPr="402734C5">
              <w:t>Other</w:t>
            </w:r>
          </w:p>
        </w:tc>
        <w:tc>
          <w:tcPr>
            <w:tcW w:w="2994" w:type="dxa"/>
            <w:vAlign w:val="center"/>
          </w:tcPr>
          <w:p w14:paraId="7C32D865" w14:textId="77777777" w:rsidR="00910F61" w:rsidRDefault="00910F61" w:rsidP="001F769C">
            <w:pPr>
              <w:pStyle w:val="NoSpacing"/>
              <w:spacing w:line="259" w:lineRule="auto"/>
              <w:jc w:val="right"/>
            </w:pPr>
          </w:p>
          <w:p w14:paraId="13F589AC" w14:textId="6BDA3C8A" w:rsidR="00F06A42" w:rsidRDefault="00F06A42" w:rsidP="001F769C">
            <w:pPr>
              <w:pStyle w:val="NoSpacing"/>
              <w:spacing w:line="259" w:lineRule="auto"/>
              <w:jc w:val="right"/>
            </w:pPr>
            <w:r>
              <w:t>4,279.44</w:t>
            </w:r>
          </w:p>
        </w:tc>
        <w:tc>
          <w:tcPr>
            <w:tcW w:w="2946" w:type="dxa"/>
            <w:vAlign w:val="center"/>
          </w:tcPr>
          <w:p w14:paraId="279E74C1" w14:textId="251B1427" w:rsidR="00910F61" w:rsidRDefault="00A92CA8" w:rsidP="001F769C">
            <w:pPr>
              <w:pStyle w:val="NoSpacing"/>
              <w:spacing w:line="259" w:lineRule="auto"/>
              <w:jc w:val="right"/>
            </w:pPr>
            <w:r>
              <w:t>305,459</w:t>
            </w:r>
            <w:r w:rsidR="00CD4644">
              <w:t>.46</w:t>
            </w:r>
          </w:p>
        </w:tc>
      </w:tr>
      <w:tr w:rsidR="00910F61" w14:paraId="3D879F10" w14:textId="77777777" w:rsidTr="00DD724E">
        <w:trPr>
          <w:trHeight w:val="373"/>
        </w:trPr>
        <w:tc>
          <w:tcPr>
            <w:tcW w:w="1525" w:type="dxa"/>
            <w:vMerge/>
            <w:vAlign w:val="center"/>
          </w:tcPr>
          <w:p w14:paraId="347A8CBF" w14:textId="77777777" w:rsidR="00910F61" w:rsidRDefault="00910F61" w:rsidP="001F769C">
            <w:pPr>
              <w:pStyle w:val="NoSpacing"/>
              <w:spacing w:line="259" w:lineRule="auto"/>
              <w:jc w:val="right"/>
            </w:pPr>
          </w:p>
        </w:tc>
        <w:tc>
          <w:tcPr>
            <w:tcW w:w="3150" w:type="dxa"/>
            <w:vAlign w:val="center"/>
          </w:tcPr>
          <w:p w14:paraId="5A0B0344" w14:textId="31F7CC45" w:rsidR="00910F61" w:rsidRDefault="00910F61" w:rsidP="001F769C">
            <w:pPr>
              <w:pStyle w:val="NoSpacing"/>
              <w:spacing w:line="259" w:lineRule="auto"/>
              <w:jc w:val="right"/>
            </w:pPr>
            <w:r>
              <w:t>Sub-</w:t>
            </w:r>
            <w:r w:rsidRPr="402734C5">
              <w:t>Total</w:t>
            </w:r>
          </w:p>
        </w:tc>
        <w:tc>
          <w:tcPr>
            <w:tcW w:w="2994" w:type="dxa"/>
            <w:vAlign w:val="center"/>
          </w:tcPr>
          <w:p w14:paraId="592923F6" w14:textId="697BB2E3" w:rsidR="00910F61" w:rsidRDefault="0051600F" w:rsidP="001F769C">
            <w:pPr>
              <w:pStyle w:val="NoSpacing"/>
              <w:spacing w:line="259" w:lineRule="auto"/>
              <w:jc w:val="right"/>
            </w:pPr>
            <w:r>
              <w:t>4,279.44</w:t>
            </w:r>
          </w:p>
        </w:tc>
        <w:tc>
          <w:tcPr>
            <w:tcW w:w="2946" w:type="dxa"/>
            <w:vAlign w:val="center"/>
          </w:tcPr>
          <w:p w14:paraId="7F8C944C" w14:textId="0B251D66" w:rsidR="00910F61" w:rsidRDefault="00650118" w:rsidP="001F769C">
            <w:pPr>
              <w:pStyle w:val="NoSpacing"/>
              <w:spacing w:line="259" w:lineRule="auto"/>
              <w:jc w:val="right"/>
            </w:pPr>
            <w:r>
              <w:t>442,560.15</w:t>
            </w:r>
          </w:p>
        </w:tc>
      </w:tr>
      <w:tr w:rsidR="00910F61" w14:paraId="058FF406" w14:textId="77777777" w:rsidTr="00DD724E">
        <w:trPr>
          <w:trHeight w:val="373"/>
        </w:trPr>
        <w:tc>
          <w:tcPr>
            <w:tcW w:w="1525"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3150"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994"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946"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DD724E">
        <w:trPr>
          <w:trHeight w:val="373"/>
        </w:trPr>
        <w:tc>
          <w:tcPr>
            <w:tcW w:w="1525"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3150"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994" w:type="dxa"/>
            <w:vAlign w:val="center"/>
          </w:tcPr>
          <w:p w14:paraId="173BDC31" w14:textId="2D25007E" w:rsidR="00910F61" w:rsidRDefault="00910F61" w:rsidP="001F769C">
            <w:pPr>
              <w:pStyle w:val="NoSpacing"/>
              <w:spacing w:line="259" w:lineRule="auto"/>
              <w:jc w:val="right"/>
            </w:pPr>
          </w:p>
        </w:tc>
        <w:tc>
          <w:tcPr>
            <w:tcW w:w="2946" w:type="dxa"/>
            <w:vAlign w:val="center"/>
          </w:tcPr>
          <w:p w14:paraId="431FA409" w14:textId="07449F35" w:rsidR="00910F61" w:rsidRDefault="00910F61" w:rsidP="001F769C">
            <w:pPr>
              <w:pStyle w:val="NoSpacing"/>
              <w:spacing w:line="259" w:lineRule="auto"/>
              <w:jc w:val="right"/>
            </w:pPr>
          </w:p>
        </w:tc>
      </w:tr>
      <w:tr w:rsidR="00910F61" w14:paraId="1D66AAD4" w14:textId="77777777" w:rsidTr="00DD724E">
        <w:trPr>
          <w:trHeight w:val="373"/>
        </w:trPr>
        <w:tc>
          <w:tcPr>
            <w:tcW w:w="1525" w:type="dxa"/>
            <w:vMerge/>
            <w:vAlign w:val="center"/>
          </w:tcPr>
          <w:p w14:paraId="0062A72A" w14:textId="77777777" w:rsidR="00910F61" w:rsidRDefault="00910F61" w:rsidP="001F769C">
            <w:pPr>
              <w:pStyle w:val="NoSpacing"/>
              <w:spacing w:line="259" w:lineRule="auto"/>
              <w:jc w:val="right"/>
            </w:pPr>
          </w:p>
        </w:tc>
        <w:tc>
          <w:tcPr>
            <w:tcW w:w="3150" w:type="dxa"/>
            <w:vAlign w:val="center"/>
          </w:tcPr>
          <w:p w14:paraId="1F399754" w14:textId="66A22BCE" w:rsidR="00910F61" w:rsidRDefault="00910F61" w:rsidP="001F769C">
            <w:pPr>
              <w:pStyle w:val="NoSpacing"/>
              <w:spacing w:line="259" w:lineRule="auto"/>
              <w:jc w:val="right"/>
            </w:pPr>
            <w:r w:rsidRPr="402734C5">
              <w:t>High School Innovation</w:t>
            </w:r>
          </w:p>
        </w:tc>
        <w:tc>
          <w:tcPr>
            <w:tcW w:w="2994" w:type="dxa"/>
            <w:vAlign w:val="center"/>
          </w:tcPr>
          <w:p w14:paraId="1D23C2D2" w14:textId="2D25007E" w:rsidR="00910F61" w:rsidRDefault="00910F61" w:rsidP="001F769C">
            <w:pPr>
              <w:pStyle w:val="NoSpacing"/>
              <w:spacing w:line="259" w:lineRule="auto"/>
              <w:jc w:val="right"/>
            </w:pPr>
          </w:p>
        </w:tc>
        <w:tc>
          <w:tcPr>
            <w:tcW w:w="2946" w:type="dxa"/>
            <w:vAlign w:val="center"/>
          </w:tcPr>
          <w:p w14:paraId="751FB482" w14:textId="04AF076A" w:rsidR="00910F61" w:rsidRDefault="00910F61" w:rsidP="001F769C">
            <w:pPr>
              <w:pStyle w:val="NoSpacing"/>
              <w:spacing w:line="259" w:lineRule="auto"/>
              <w:jc w:val="right"/>
            </w:pPr>
          </w:p>
        </w:tc>
      </w:tr>
      <w:tr w:rsidR="00910F61" w14:paraId="3CD42DAF" w14:textId="77777777" w:rsidTr="00DD724E">
        <w:trPr>
          <w:trHeight w:val="373"/>
        </w:trPr>
        <w:tc>
          <w:tcPr>
            <w:tcW w:w="1525" w:type="dxa"/>
            <w:vMerge/>
            <w:vAlign w:val="center"/>
          </w:tcPr>
          <w:p w14:paraId="2B97B236" w14:textId="77777777" w:rsidR="00910F61" w:rsidRDefault="00910F61" w:rsidP="001F769C">
            <w:pPr>
              <w:pStyle w:val="NoSpacing"/>
              <w:spacing w:line="259" w:lineRule="auto"/>
              <w:jc w:val="right"/>
            </w:pPr>
          </w:p>
        </w:tc>
        <w:tc>
          <w:tcPr>
            <w:tcW w:w="3150" w:type="dxa"/>
            <w:vAlign w:val="center"/>
          </w:tcPr>
          <w:p w14:paraId="36DD9CFB" w14:textId="24F96C6C" w:rsidR="00910F61" w:rsidRDefault="00910F61" w:rsidP="001F769C">
            <w:pPr>
              <w:pStyle w:val="NoSpacing"/>
              <w:spacing w:line="259" w:lineRule="auto"/>
              <w:jc w:val="right"/>
            </w:pPr>
            <w:r w:rsidRPr="402734C5">
              <w:t>Academic Advising</w:t>
            </w:r>
          </w:p>
        </w:tc>
        <w:tc>
          <w:tcPr>
            <w:tcW w:w="2994" w:type="dxa"/>
            <w:vAlign w:val="center"/>
          </w:tcPr>
          <w:p w14:paraId="73350C85" w14:textId="2B636B10" w:rsidR="00910F61" w:rsidRDefault="00910F61" w:rsidP="001F769C">
            <w:pPr>
              <w:pStyle w:val="NoSpacing"/>
              <w:spacing w:line="259" w:lineRule="auto"/>
              <w:jc w:val="right"/>
            </w:pPr>
          </w:p>
        </w:tc>
        <w:tc>
          <w:tcPr>
            <w:tcW w:w="2946" w:type="dxa"/>
            <w:vAlign w:val="center"/>
          </w:tcPr>
          <w:p w14:paraId="2363224E" w14:textId="3D9F30D1" w:rsidR="00910F61" w:rsidRDefault="00910F61" w:rsidP="001F769C">
            <w:pPr>
              <w:pStyle w:val="NoSpacing"/>
              <w:spacing w:line="259" w:lineRule="auto"/>
              <w:jc w:val="right"/>
            </w:pPr>
          </w:p>
        </w:tc>
      </w:tr>
      <w:tr w:rsidR="00910F61" w14:paraId="4812DC04" w14:textId="77777777" w:rsidTr="00DD724E">
        <w:trPr>
          <w:trHeight w:val="373"/>
        </w:trPr>
        <w:tc>
          <w:tcPr>
            <w:tcW w:w="1525" w:type="dxa"/>
            <w:vMerge/>
            <w:vAlign w:val="center"/>
          </w:tcPr>
          <w:p w14:paraId="71ECC70A" w14:textId="77777777" w:rsidR="00910F61" w:rsidRDefault="00910F61" w:rsidP="001F769C">
            <w:pPr>
              <w:pStyle w:val="NoSpacing"/>
              <w:spacing w:line="259" w:lineRule="auto"/>
              <w:jc w:val="right"/>
            </w:pPr>
          </w:p>
        </w:tc>
        <w:tc>
          <w:tcPr>
            <w:tcW w:w="3150" w:type="dxa"/>
            <w:vAlign w:val="center"/>
          </w:tcPr>
          <w:p w14:paraId="7FEA9C20" w14:textId="1894564D" w:rsidR="00910F61" w:rsidRDefault="00910F61" w:rsidP="001F769C">
            <w:pPr>
              <w:pStyle w:val="NoSpacing"/>
              <w:spacing w:line="259" w:lineRule="auto"/>
              <w:jc w:val="right"/>
            </w:pPr>
            <w:r w:rsidRPr="402734C5">
              <w:t>Special Populations</w:t>
            </w:r>
          </w:p>
        </w:tc>
        <w:tc>
          <w:tcPr>
            <w:tcW w:w="2994" w:type="dxa"/>
            <w:vAlign w:val="center"/>
          </w:tcPr>
          <w:p w14:paraId="3A335D2D" w14:textId="0D8C8342" w:rsidR="00910F61" w:rsidRDefault="0051600F" w:rsidP="001F769C">
            <w:pPr>
              <w:pStyle w:val="NoSpacing"/>
              <w:spacing w:line="259" w:lineRule="auto"/>
              <w:jc w:val="right"/>
            </w:pPr>
            <w:r>
              <w:t>59,877.71</w:t>
            </w:r>
          </w:p>
        </w:tc>
        <w:tc>
          <w:tcPr>
            <w:tcW w:w="2946" w:type="dxa"/>
            <w:vAlign w:val="center"/>
          </w:tcPr>
          <w:p w14:paraId="02A514C0" w14:textId="4C58CBEC" w:rsidR="00910F61" w:rsidRDefault="00CD4644" w:rsidP="001F769C">
            <w:pPr>
              <w:pStyle w:val="NoSpacing"/>
              <w:spacing w:line="259" w:lineRule="auto"/>
              <w:jc w:val="right"/>
            </w:pPr>
            <w:r>
              <w:t>62,322.07</w:t>
            </w:r>
          </w:p>
        </w:tc>
      </w:tr>
      <w:tr w:rsidR="00910F61" w14:paraId="2354738F" w14:textId="77777777" w:rsidTr="00DD724E">
        <w:trPr>
          <w:trHeight w:val="373"/>
        </w:trPr>
        <w:tc>
          <w:tcPr>
            <w:tcW w:w="1525" w:type="dxa"/>
            <w:vMerge/>
            <w:vAlign w:val="center"/>
          </w:tcPr>
          <w:p w14:paraId="5FD61AE6" w14:textId="77777777" w:rsidR="00910F61" w:rsidRDefault="00910F61" w:rsidP="001F769C">
            <w:pPr>
              <w:pStyle w:val="NoSpacing"/>
              <w:spacing w:line="259" w:lineRule="auto"/>
              <w:jc w:val="right"/>
            </w:pPr>
          </w:p>
        </w:tc>
        <w:tc>
          <w:tcPr>
            <w:tcW w:w="3150" w:type="dxa"/>
            <w:vAlign w:val="center"/>
          </w:tcPr>
          <w:p w14:paraId="21AB2BA6" w14:textId="6C56DD8F" w:rsidR="00910F61" w:rsidRDefault="00910F61" w:rsidP="001F769C">
            <w:pPr>
              <w:pStyle w:val="NoSpacing"/>
              <w:spacing w:line="259" w:lineRule="auto"/>
              <w:jc w:val="right"/>
            </w:pPr>
            <w:r w:rsidRPr="402734C5">
              <w:t>Mental Health</w:t>
            </w:r>
          </w:p>
        </w:tc>
        <w:tc>
          <w:tcPr>
            <w:tcW w:w="2994" w:type="dxa"/>
            <w:vAlign w:val="center"/>
          </w:tcPr>
          <w:p w14:paraId="46E8A90E" w14:textId="58F94C45" w:rsidR="00910F61" w:rsidRDefault="00910F61" w:rsidP="001F769C">
            <w:pPr>
              <w:pStyle w:val="NoSpacing"/>
              <w:spacing w:line="259" w:lineRule="auto"/>
              <w:jc w:val="right"/>
            </w:pPr>
          </w:p>
        </w:tc>
        <w:tc>
          <w:tcPr>
            <w:tcW w:w="2946" w:type="dxa"/>
            <w:vAlign w:val="center"/>
          </w:tcPr>
          <w:p w14:paraId="4A8F1AD6" w14:textId="706B3B91" w:rsidR="00910F61" w:rsidRDefault="00910F61" w:rsidP="001F769C">
            <w:pPr>
              <w:pStyle w:val="NoSpacing"/>
              <w:spacing w:line="259" w:lineRule="auto"/>
              <w:jc w:val="right"/>
            </w:pPr>
          </w:p>
        </w:tc>
      </w:tr>
      <w:tr w:rsidR="00910F61" w14:paraId="6942E863" w14:textId="77777777" w:rsidTr="00DD724E">
        <w:trPr>
          <w:trHeight w:val="373"/>
        </w:trPr>
        <w:tc>
          <w:tcPr>
            <w:tcW w:w="1525" w:type="dxa"/>
            <w:vMerge/>
            <w:vAlign w:val="center"/>
          </w:tcPr>
          <w:p w14:paraId="66A78A7F" w14:textId="77777777" w:rsidR="00910F61" w:rsidRDefault="00910F61" w:rsidP="001F769C">
            <w:pPr>
              <w:pStyle w:val="NoSpacing"/>
              <w:spacing w:line="259" w:lineRule="auto"/>
              <w:jc w:val="right"/>
            </w:pPr>
          </w:p>
        </w:tc>
        <w:tc>
          <w:tcPr>
            <w:tcW w:w="3150" w:type="dxa"/>
            <w:vAlign w:val="center"/>
          </w:tcPr>
          <w:p w14:paraId="4CF3B323" w14:textId="25BBD98F" w:rsidR="00910F61" w:rsidRDefault="00910F61" w:rsidP="001F769C">
            <w:pPr>
              <w:pStyle w:val="NoSpacing"/>
              <w:spacing w:line="259" w:lineRule="auto"/>
              <w:jc w:val="right"/>
            </w:pPr>
            <w:r w:rsidRPr="402734C5">
              <w:t>Other</w:t>
            </w:r>
          </w:p>
        </w:tc>
        <w:tc>
          <w:tcPr>
            <w:tcW w:w="2994" w:type="dxa"/>
            <w:vAlign w:val="center"/>
          </w:tcPr>
          <w:p w14:paraId="7E18A90E" w14:textId="7F004A32" w:rsidR="00910F61" w:rsidRDefault="00910F61" w:rsidP="001F769C">
            <w:pPr>
              <w:pStyle w:val="NoSpacing"/>
              <w:spacing w:line="259" w:lineRule="auto"/>
              <w:jc w:val="right"/>
            </w:pPr>
          </w:p>
        </w:tc>
        <w:tc>
          <w:tcPr>
            <w:tcW w:w="2946" w:type="dxa"/>
            <w:vAlign w:val="center"/>
          </w:tcPr>
          <w:p w14:paraId="63556CF5" w14:textId="6B626769" w:rsidR="00910F61" w:rsidRDefault="00CD4644" w:rsidP="001F769C">
            <w:pPr>
              <w:pStyle w:val="NoSpacing"/>
              <w:spacing w:line="259" w:lineRule="auto"/>
              <w:jc w:val="right"/>
            </w:pPr>
            <w:r>
              <w:t>440,453.47</w:t>
            </w:r>
          </w:p>
        </w:tc>
      </w:tr>
      <w:tr w:rsidR="00910F61" w14:paraId="0D4AE9F4" w14:textId="77777777" w:rsidTr="00DD724E">
        <w:trPr>
          <w:trHeight w:val="373"/>
        </w:trPr>
        <w:tc>
          <w:tcPr>
            <w:tcW w:w="1525" w:type="dxa"/>
            <w:vMerge/>
            <w:vAlign w:val="center"/>
          </w:tcPr>
          <w:p w14:paraId="654F9A1F" w14:textId="77777777" w:rsidR="00910F61" w:rsidRDefault="00910F61" w:rsidP="001F769C">
            <w:pPr>
              <w:pStyle w:val="NoSpacing"/>
              <w:spacing w:line="259" w:lineRule="auto"/>
              <w:jc w:val="right"/>
            </w:pPr>
          </w:p>
        </w:tc>
        <w:tc>
          <w:tcPr>
            <w:tcW w:w="3150" w:type="dxa"/>
            <w:vAlign w:val="center"/>
          </w:tcPr>
          <w:p w14:paraId="3EDB6033" w14:textId="0D63170A" w:rsidR="00910F61" w:rsidRDefault="00910F61" w:rsidP="001F769C">
            <w:pPr>
              <w:pStyle w:val="NoSpacing"/>
              <w:spacing w:line="259" w:lineRule="auto"/>
              <w:jc w:val="right"/>
            </w:pPr>
            <w:r>
              <w:t>Sub-</w:t>
            </w:r>
            <w:r w:rsidRPr="402734C5">
              <w:t>Total</w:t>
            </w:r>
          </w:p>
        </w:tc>
        <w:tc>
          <w:tcPr>
            <w:tcW w:w="2994" w:type="dxa"/>
            <w:vAlign w:val="center"/>
          </w:tcPr>
          <w:p w14:paraId="2C7FB481" w14:textId="739A45C5" w:rsidR="00910F61" w:rsidRDefault="0051600F" w:rsidP="001F769C">
            <w:pPr>
              <w:pStyle w:val="NoSpacing"/>
              <w:spacing w:line="259" w:lineRule="auto"/>
              <w:jc w:val="right"/>
            </w:pPr>
            <w:r>
              <w:t>59,877.71</w:t>
            </w:r>
          </w:p>
        </w:tc>
        <w:tc>
          <w:tcPr>
            <w:tcW w:w="2946" w:type="dxa"/>
            <w:vAlign w:val="center"/>
          </w:tcPr>
          <w:p w14:paraId="2B6246CD" w14:textId="4DFB5304" w:rsidR="00910F61" w:rsidRDefault="00650118" w:rsidP="001F769C">
            <w:pPr>
              <w:pStyle w:val="NoSpacing"/>
              <w:spacing w:line="259" w:lineRule="auto"/>
              <w:jc w:val="right"/>
            </w:pPr>
            <w:r>
              <w:t>502,775.54</w:t>
            </w:r>
          </w:p>
        </w:tc>
      </w:tr>
      <w:tr w:rsidR="00910F61" w14:paraId="2233012D" w14:textId="77777777" w:rsidTr="00DD724E">
        <w:trPr>
          <w:trHeight w:val="373"/>
        </w:trPr>
        <w:tc>
          <w:tcPr>
            <w:tcW w:w="1525"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3150"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994" w:type="dxa"/>
            <w:shd w:val="clear" w:color="auto" w:fill="002D72" w:themeFill="accent2"/>
            <w:vAlign w:val="center"/>
          </w:tcPr>
          <w:p w14:paraId="735661EF" w14:textId="78C263FC" w:rsidR="00910F61" w:rsidRDefault="00910F61" w:rsidP="001F769C">
            <w:pPr>
              <w:pStyle w:val="NoSpacing"/>
              <w:spacing w:line="259" w:lineRule="auto"/>
              <w:jc w:val="right"/>
            </w:pPr>
          </w:p>
        </w:tc>
        <w:tc>
          <w:tcPr>
            <w:tcW w:w="2946"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DD724E">
        <w:trPr>
          <w:trHeight w:val="373"/>
        </w:trPr>
        <w:tc>
          <w:tcPr>
            <w:tcW w:w="1525"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3150"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994" w:type="dxa"/>
            <w:vAlign w:val="center"/>
          </w:tcPr>
          <w:p w14:paraId="2F1701DE" w14:textId="3B85BADE" w:rsidR="00910F61" w:rsidRDefault="00910F61" w:rsidP="00605B5D">
            <w:pPr>
              <w:pStyle w:val="NoSpacing"/>
              <w:spacing w:line="259" w:lineRule="auto"/>
              <w:jc w:val="center"/>
            </w:pPr>
          </w:p>
        </w:tc>
        <w:tc>
          <w:tcPr>
            <w:tcW w:w="2946" w:type="dxa"/>
            <w:vAlign w:val="center"/>
          </w:tcPr>
          <w:p w14:paraId="0C94A1BD" w14:textId="07449F35" w:rsidR="00910F61" w:rsidRDefault="00910F61" w:rsidP="001F769C">
            <w:pPr>
              <w:pStyle w:val="NoSpacing"/>
              <w:spacing w:line="259" w:lineRule="auto"/>
              <w:jc w:val="right"/>
            </w:pPr>
          </w:p>
        </w:tc>
      </w:tr>
      <w:tr w:rsidR="00910F61" w14:paraId="0C8CB43B" w14:textId="77777777" w:rsidTr="00DD724E">
        <w:trPr>
          <w:trHeight w:val="373"/>
        </w:trPr>
        <w:tc>
          <w:tcPr>
            <w:tcW w:w="1525" w:type="dxa"/>
            <w:vMerge/>
            <w:vAlign w:val="center"/>
          </w:tcPr>
          <w:p w14:paraId="1690A907" w14:textId="77777777" w:rsidR="00910F61" w:rsidRDefault="00910F61" w:rsidP="001F769C">
            <w:pPr>
              <w:pStyle w:val="NoSpacing"/>
              <w:spacing w:line="259" w:lineRule="auto"/>
              <w:jc w:val="right"/>
            </w:pPr>
          </w:p>
        </w:tc>
        <w:tc>
          <w:tcPr>
            <w:tcW w:w="3150" w:type="dxa"/>
            <w:vAlign w:val="center"/>
          </w:tcPr>
          <w:p w14:paraId="48BD7A8B" w14:textId="44EC73D5" w:rsidR="00910F61" w:rsidRDefault="00910F61" w:rsidP="001F769C">
            <w:pPr>
              <w:pStyle w:val="NoSpacing"/>
              <w:spacing w:line="259" w:lineRule="auto"/>
              <w:jc w:val="right"/>
            </w:pPr>
            <w:r w:rsidRPr="402734C5">
              <w:t>Grow Your Own</w:t>
            </w:r>
          </w:p>
        </w:tc>
        <w:tc>
          <w:tcPr>
            <w:tcW w:w="2994" w:type="dxa"/>
            <w:vAlign w:val="center"/>
          </w:tcPr>
          <w:p w14:paraId="1EF0A2B9" w14:textId="2D25007E" w:rsidR="00910F61" w:rsidRDefault="00910F61" w:rsidP="001F769C">
            <w:pPr>
              <w:pStyle w:val="NoSpacing"/>
              <w:spacing w:line="259" w:lineRule="auto"/>
              <w:jc w:val="right"/>
            </w:pPr>
          </w:p>
        </w:tc>
        <w:tc>
          <w:tcPr>
            <w:tcW w:w="2946" w:type="dxa"/>
            <w:vAlign w:val="center"/>
          </w:tcPr>
          <w:p w14:paraId="06CB66F0" w14:textId="04AF076A" w:rsidR="00910F61" w:rsidRDefault="00910F61" w:rsidP="001F769C">
            <w:pPr>
              <w:pStyle w:val="NoSpacing"/>
              <w:spacing w:line="259" w:lineRule="auto"/>
              <w:jc w:val="right"/>
            </w:pPr>
          </w:p>
        </w:tc>
      </w:tr>
      <w:tr w:rsidR="00910F61" w14:paraId="0A00EC08" w14:textId="77777777" w:rsidTr="00DD724E">
        <w:trPr>
          <w:trHeight w:val="373"/>
        </w:trPr>
        <w:tc>
          <w:tcPr>
            <w:tcW w:w="1525" w:type="dxa"/>
            <w:vMerge/>
            <w:vAlign w:val="center"/>
          </w:tcPr>
          <w:p w14:paraId="021075CB" w14:textId="77777777" w:rsidR="00910F61" w:rsidRDefault="00910F61" w:rsidP="001F769C">
            <w:pPr>
              <w:pStyle w:val="NoSpacing"/>
              <w:spacing w:line="259" w:lineRule="auto"/>
              <w:jc w:val="right"/>
            </w:pPr>
          </w:p>
        </w:tc>
        <w:tc>
          <w:tcPr>
            <w:tcW w:w="3150" w:type="dxa"/>
            <w:vAlign w:val="center"/>
          </w:tcPr>
          <w:p w14:paraId="47F8A025" w14:textId="5EBE3642" w:rsidR="00910F61" w:rsidRDefault="00910F61" w:rsidP="001F769C">
            <w:pPr>
              <w:pStyle w:val="NoSpacing"/>
              <w:spacing w:line="259" w:lineRule="auto"/>
              <w:jc w:val="right"/>
            </w:pPr>
            <w:r w:rsidRPr="402734C5">
              <w:t>Class Size Reduction</w:t>
            </w:r>
          </w:p>
        </w:tc>
        <w:tc>
          <w:tcPr>
            <w:tcW w:w="2994" w:type="dxa"/>
            <w:vAlign w:val="center"/>
          </w:tcPr>
          <w:p w14:paraId="2E689FAA" w14:textId="03152F5A" w:rsidR="00910F61" w:rsidRDefault="00605B5D" w:rsidP="001F769C">
            <w:pPr>
              <w:pStyle w:val="NoSpacing"/>
              <w:spacing w:line="259" w:lineRule="auto"/>
              <w:jc w:val="right"/>
            </w:pPr>
            <w:r>
              <w:t>1,784.04</w:t>
            </w:r>
          </w:p>
        </w:tc>
        <w:tc>
          <w:tcPr>
            <w:tcW w:w="2946" w:type="dxa"/>
            <w:vAlign w:val="center"/>
          </w:tcPr>
          <w:p w14:paraId="1355ED97" w14:textId="2342BF87" w:rsidR="00910F61" w:rsidRDefault="00650118" w:rsidP="001F769C">
            <w:pPr>
              <w:pStyle w:val="NoSpacing"/>
              <w:spacing w:line="259" w:lineRule="auto"/>
              <w:jc w:val="right"/>
            </w:pPr>
            <w:r>
              <w:t>357,036.3</w:t>
            </w:r>
            <w:r w:rsidR="00BD09C5">
              <w:t>2</w:t>
            </w:r>
          </w:p>
        </w:tc>
      </w:tr>
      <w:tr w:rsidR="00910F61" w14:paraId="1B814B37" w14:textId="77777777" w:rsidTr="00DD724E">
        <w:trPr>
          <w:trHeight w:val="373"/>
        </w:trPr>
        <w:tc>
          <w:tcPr>
            <w:tcW w:w="1525" w:type="dxa"/>
            <w:vMerge/>
            <w:vAlign w:val="center"/>
          </w:tcPr>
          <w:p w14:paraId="6F524843" w14:textId="77777777" w:rsidR="00910F61" w:rsidRDefault="00910F61" w:rsidP="001F769C">
            <w:pPr>
              <w:pStyle w:val="NoSpacing"/>
              <w:spacing w:line="259" w:lineRule="auto"/>
              <w:jc w:val="right"/>
            </w:pPr>
          </w:p>
        </w:tc>
        <w:tc>
          <w:tcPr>
            <w:tcW w:w="3150" w:type="dxa"/>
            <w:vAlign w:val="center"/>
          </w:tcPr>
          <w:p w14:paraId="0D771037" w14:textId="4992435D" w:rsidR="00910F61" w:rsidRDefault="00910F61" w:rsidP="001F769C">
            <w:pPr>
              <w:pStyle w:val="NoSpacing"/>
              <w:spacing w:line="259" w:lineRule="auto"/>
              <w:jc w:val="right"/>
            </w:pPr>
            <w:r w:rsidRPr="402734C5">
              <w:t>Other</w:t>
            </w:r>
          </w:p>
        </w:tc>
        <w:tc>
          <w:tcPr>
            <w:tcW w:w="2994" w:type="dxa"/>
            <w:vAlign w:val="center"/>
          </w:tcPr>
          <w:p w14:paraId="48DA47CC" w14:textId="3D0EA93C" w:rsidR="00910F61" w:rsidRDefault="00605B5D" w:rsidP="001F769C">
            <w:pPr>
              <w:pStyle w:val="NoSpacing"/>
              <w:spacing w:line="259" w:lineRule="auto"/>
              <w:jc w:val="right"/>
            </w:pPr>
            <w:r>
              <w:t>18,531.63</w:t>
            </w:r>
          </w:p>
        </w:tc>
        <w:tc>
          <w:tcPr>
            <w:tcW w:w="2946" w:type="dxa"/>
            <w:vAlign w:val="center"/>
          </w:tcPr>
          <w:p w14:paraId="5097BE11" w14:textId="7F221D6D" w:rsidR="00910F61" w:rsidRDefault="00A92CA8" w:rsidP="001F769C">
            <w:pPr>
              <w:pStyle w:val="NoSpacing"/>
              <w:spacing w:line="259" w:lineRule="auto"/>
              <w:jc w:val="right"/>
            </w:pPr>
            <w:r>
              <w:t>28,204.00</w:t>
            </w:r>
          </w:p>
        </w:tc>
      </w:tr>
      <w:tr w:rsidR="00910F61" w14:paraId="120F9E1B" w14:textId="77777777" w:rsidTr="00DD724E">
        <w:trPr>
          <w:trHeight w:val="373"/>
        </w:trPr>
        <w:tc>
          <w:tcPr>
            <w:tcW w:w="1525" w:type="dxa"/>
            <w:vMerge/>
            <w:vAlign w:val="center"/>
          </w:tcPr>
          <w:p w14:paraId="691C0907" w14:textId="77777777" w:rsidR="00910F61" w:rsidRDefault="00910F61" w:rsidP="001F769C">
            <w:pPr>
              <w:pStyle w:val="NoSpacing"/>
              <w:spacing w:line="259" w:lineRule="auto"/>
              <w:jc w:val="right"/>
            </w:pPr>
          </w:p>
        </w:tc>
        <w:tc>
          <w:tcPr>
            <w:tcW w:w="3150" w:type="dxa"/>
            <w:vAlign w:val="center"/>
          </w:tcPr>
          <w:p w14:paraId="6CA68DB2" w14:textId="5A889132" w:rsidR="00910F61" w:rsidRDefault="00910F61" w:rsidP="001F769C">
            <w:pPr>
              <w:pStyle w:val="NoSpacing"/>
              <w:spacing w:line="259" w:lineRule="auto"/>
              <w:jc w:val="right"/>
            </w:pPr>
            <w:r>
              <w:t>Sub-</w:t>
            </w:r>
            <w:r w:rsidRPr="402734C5">
              <w:t>Total</w:t>
            </w:r>
          </w:p>
        </w:tc>
        <w:tc>
          <w:tcPr>
            <w:tcW w:w="2994" w:type="dxa"/>
            <w:vAlign w:val="center"/>
          </w:tcPr>
          <w:p w14:paraId="0A68C5F8" w14:textId="6C48D961" w:rsidR="00910F61" w:rsidRDefault="0051600F" w:rsidP="001F769C">
            <w:pPr>
              <w:pStyle w:val="NoSpacing"/>
              <w:spacing w:line="259" w:lineRule="auto"/>
              <w:jc w:val="right"/>
            </w:pPr>
            <w:r>
              <w:t>20,315.67</w:t>
            </w:r>
          </w:p>
        </w:tc>
        <w:tc>
          <w:tcPr>
            <w:tcW w:w="2946" w:type="dxa"/>
            <w:vAlign w:val="center"/>
          </w:tcPr>
          <w:p w14:paraId="145CCABB" w14:textId="691CEC74" w:rsidR="00910F61" w:rsidRDefault="00650118" w:rsidP="001F769C">
            <w:pPr>
              <w:pStyle w:val="NoSpacing"/>
              <w:spacing w:line="259" w:lineRule="auto"/>
              <w:jc w:val="right"/>
            </w:pPr>
            <w:r>
              <w:t>385,240.32</w:t>
            </w:r>
          </w:p>
        </w:tc>
      </w:tr>
      <w:tr w:rsidR="00910F61" w14:paraId="12B6F21A" w14:textId="77777777" w:rsidTr="00DD724E">
        <w:trPr>
          <w:trHeight w:val="373"/>
        </w:trPr>
        <w:tc>
          <w:tcPr>
            <w:tcW w:w="1525" w:type="dxa"/>
            <w:shd w:val="clear" w:color="auto" w:fill="002D72" w:themeFill="accent2"/>
            <w:vAlign w:val="center"/>
          </w:tcPr>
          <w:p w14:paraId="2E77AEC4" w14:textId="16084A1E" w:rsidR="00910F61" w:rsidRDefault="00910F61" w:rsidP="001F769C">
            <w:pPr>
              <w:pStyle w:val="NoSpacing"/>
              <w:spacing w:line="259" w:lineRule="auto"/>
              <w:jc w:val="right"/>
            </w:pPr>
          </w:p>
        </w:tc>
        <w:tc>
          <w:tcPr>
            <w:tcW w:w="3150" w:type="dxa"/>
            <w:shd w:val="clear" w:color="auto" w:fill="002D72" w:themeFill="accent2"/>
            <w:vAlign w:val="center"/>
          </w:tcPr>
          <w:p w14:paraId="4F70CCC4" w14:textId="0EF691BE" w:rsidR="00910F61" w:rsidRDefault="00910F61" w:rsidP="001F769C">
            <w:pPr>
              <w:pStyle w:val="NoSpacing"/>
              <w:spacing w:line="259" w:lineRule="auto"/>
              <w:jc w:val="right"/>
            </w:pPr>
          </w:p>
        </w:tc>
        <w:tc>
          <w:tcPr>
            <w:tcW w:w="2994" w:type="dxa"/>
            <w:shd w:val="clear" w:color="auto" w:fill="002D72" w:themeFill="accent2"/>
            <w:vAlign w:val="center"/>
          </w:tcPr>
          <w:p w14:paraId="7C7D4D4C" w14:textId="55091A55" w:rsidR="00910F61" w:rsidRDefault="00910F61" w:rsidP="001F769C">
            <w:pPr>
              <w:pStyle w:val="NoSpacing"/>
              <w:spacing w:line="259" w:lineRule="auto"/>
              <w:jc w:val="right"/>
            </w:pPr>
          </w:p>
        </w:tc>
        <w:tc>
          <w:tcPr>
            <w:tcW w:w="2946" w:type="dxa"/>
            <w:shd w:val="clear" w:color="auto" w:fill="002D72" w:themeFill="accent2"/>
            <w:vAlign w:val="center"/>
          </w:tcPr>
          <w:p w14:paraId="6EB06867" w14:textId="7D58FF37" w:rsidR="00910F61" w:rsidRDefault="00910F61" w:rsidP="001F769C">
            <w:pPr>
              <w:pStyle w:val="NoSpacing"/>
              <w:spacing w:line="259" w:lineRule="auto"/>
              <w:jc w:val="right"/>
            </w:pPr>
          </w:p>
        </w:tc>
      </w:tr>
      <w:tr w:rsidR="00910F61" w14:paraId="1388DCE3" w14:textId="77777777" w:rsidTr="00DD724E">
        <w:trPr>
          <w:trHeight w:val="373"/>
        </w:trPr>
        <w:tc>
          <w:tcPr>
            <w:tcW w:w="1525" w:type="dxa"/>
            <w:vMerge w:val="restart"/>
            <w:vAlign w:val="center"/>
          </w:tcPr>
          <w:p w14:paraId="59C34278" w14:textId="75C98B90" w:rsidR="00910F61" w:rsidRDefault="00910F61" w:rsidP="001F769C">
            <w:pPr>
              <w:pStyle w:val="NoSpacing"/>
              <w:spacing w:line="259" w:lineRule="auto"/>
              <w:jc w:val="right"/>
            </w:pPr>
            <w:r w:rsidRPr="402734C5">
              <w:t>Foundations</w:t>
            </w:r>
          </w:p>
        </w:tc>
        <w:tc>
          <w:tcPr>
            <w:tcW w:w="3150" w:type="dxa"/>
            <w:vAlign w:val="center"/>
          </w:tcPr>
          <w:p w14:paraId="1413AC95" w14:textId="2D774DB4" w:rsidR="00910F61" w:rsidRDefault="00910F61" w:rsidP="001F769C">
            <w:pPr>
              <w:pStyle w:val="NoSpacing"/>
              <w:spacing w:line="259" w:lineRule="auto"/>
              <w:jc w:val="right"/>
            </w:pPr>
            <w:r w:rsidRPr="402734C5">
              <w:t>Technology</w:t>
            </w:r>
          </w:p>
        </w:tc>
        <w:tc>
          <w:tcPr>
            <w:tcW w:w="2994" w:type="dxa"/>
            <w:vAlign w:val="center"/>
          </w:tcPr>
          <w:p w14:paraId="077208EE" w14:textId="781B7414" w:rsidR="00910F61" w:rsidRDefault="00F06A42" w:rsidP="00F06A42">
            <w:pPr>
              <w:pStyle w:val="NoSpacing"/>
              <w:spacing w:line="259" w:lineRule="auto"/>
              <w:jc w:val="center"/>
            </w:pPr>
            <w:r>
              <w:t xml:space="preserve">                                47,200.92</w:t>
            </w:r>
          </w:p>
        </w:tc>
        <w:tc>
          <w:tcPr>
            <w:tcW w:w="2946" w:type="dxa"/>
            <w:vAlign w:val="center"/>
          </w:tcPr>
          <w:p w14:paraId="543DA16F" w14:textId="01F02C75" w:rsidR="00910F61" w:rsidRDefault="003A0779" w:rsidP="001F769C">
            <w:pPr>
              <w:pStyle w:val="NoSpacing"/>
              <w:spacing w:line="259" w:lineRule="auto"/>
              <w:jc w:val="right"/>
            </w:pPr>
            <w:r>
              <w:t>80,000</w:t>
            </w:r>
            <w:r w:rsidR="0027430A">
              <w:t>.00</w:t>
            </w:r>
          </w:p>
        </w:tc>
      </w:tr>
      <w:tr w:rsidR="00910F61" w14:paraId="11AA229D" w14:textId="77777777" w:rsidTr="00DD724E">
        <w:trPr>
          <w:trHeight w:val="373"/>
        </w:trPr>
        <w:tc>
          <w:tcPr>
            <w:tcW w:w="1525" w:type="dxa"/>
            <w:vMerge/>
            <w:vAlign w:val="center"/>
          </w:tcPr>
          <w:p w14:paraId="5F9CB246" w14:textId="77777777" w:rsidR="00910F61" w:rsidRDefault="00910F61" w:rsidP="001F769C">
            <w:pPr>
              <w:pStyle w:val="NoSpacing"/>
              <w:spacing w:line="259" w:lineRule="auto"/>
              <w:jc w:val="right"/>
            </w:pPr>
          </w:p>
        </w:tc>
        <w:tc>
          <w:tcPr>
            <w:tcW w:w="3150" w:type="dxa"/>
            <w:vAlign w:val="center"/>
          </w:tcPr>
          <w:p w14:paraId="15D0701E" w14:textId="4ACA8133" w:rsidR="00910F61" w:rsidRDefault="00910F61" w:rsidP="001F769C">
            <w:pPr>
              <w:pStyle w:val="NoSpacing"/>
              <w:spacing w:line="259" w:lineRule="auto"/>
              <w:jc w:val="right"/>
            </w:pPr>
            <w:r>
              <w:t>High-Speed</w:t>
            </w:r>
            <w:r w:rsidRPr="402734C5">
              <w:t xml:space="preserve"> Internet</w:t>
            </w:r>
          </w:p>
        </w:tc>
        <w:tc>
          <w:tcPr>
            <w:tcW w:w="2994" w:type="dxa"/>
            <w:vAlign w:val="center"/>
          </w:tcPr>
          <w:p w14:paraId="43F69954" w14:textId="2D25007E" w:rsidR="00910F61" w:rsidRDefault="00910F61" w:rsidP="001F769C">
            <w:pPr>
              <w:pStyle w:val="NoSpacing"/>
              <w:spacing w:line="259" w:lineRule="auto"/>
              <w:jc w:val="right"/>
            </w:pPr>
          </w:p>
        </w:tc>
        <w:tc>
          <w:tcPr>
            <w:tcW w:w="2946" w:type="dxa"/>
            <w:vAlign w:val="center"/>
          </w:tcPr>
          <w:p w14:paraId="6C3F9E4E" w14:textId="04AF076A" w:rsidR="00910F61" w:rsidRDefault="00910F61" w:rsidP="001F769C">
            <w:pPr>
              <w:pStyle w:val="NoSpacing"/>
              <w:spacing w:line="259" w:lineRule="auto"/>
              <w:jc w:val="right"/>
            </w:pPr>
          </w:p>
        </w:tc>
      </w:tr>
      <w:tr w:rsidR="00910F61" w14:paraId="736CEC73" w14:textId="77777777" w:rsidTr="00DD724E">
        <w:trPr>
          <w:trHeight w:val="373"/>
        </w:trPr>
        <w:tc>
          <w:tcPr>
            <w:tcW w:w="1525" w:type="dxa"/>
            <w:vMerge/>
            <w:vAlign w:val="center"/>
          </w:tcPr>
          <w:p w14:paraId="7F7A5E31" w14:textId="77777777" w:rsidR="00910F61" w:rsidRDefault="00910F61" w:rsidP="001F769C">
            <w:pPr>
              <w:pStyle w:val="NoSpacing"/>
              <w:spacing w:line="259" w:lineRule="auto"/>
              <w:jc w:val="right"/>
            </w:pPr>
          </w:p>
        </w:tc>
        <w:tc>
          <w:tcPr>
            <w:tcW w:w="3150" w:type="dxa"/>
            <w:vAlign w:val="center"/>
          </w:tcPr>
          <w:p w14:paraId="21215923" w14:textId="2D28FE65" w:rsidR="00910F61" w:rsidRDefault="00910F61" w:rsidP="001F769C">
            <w:pPr>
              <w:pStyle w:val="NoSpacing"/>
              <w:spacing w:line="259" w:lineRule="auto"/>
              <w:jc w:val="right"/>
            </w:pPr>
            <w:r w:rsidRPr="402734C5">
              <w:t>Academic Space (facilities)</w:t>
            </w:r>
          </w:p>
        </w:tc>
        <w:tc>
          <w:tcPr>
            <w:tcW w:w="2994" w:type="dxa"/>
            <w:vAlign w:val="center"/>
          </w:tcPr>
          <w:p w14:paraId="67B4F0E6" w14:textId="2B636B10" w:rsidR="00910F61" w:rsidRDefault="00910F61" w:rsidP="001F769C">
            <w:pPr>
              <w:pStyle w:val="NoSpacing"/>
              <w:spacing w:line="259" w:lineRule="auto"/>
              <w:jc w:val="right"/>
            </w:pPr>
          </w:p>
        </w:tc>
        <w:tc>
          <w:tcPr>
            <w:tcW w:w="2946" w:type="dxa"/>
            <w:vAlign w:val="center"/>
          </w:tcPr>
          <w:p w14:paraId="7BF093E1" w14:textId="7A7B9E73" w:rsidR="00910F61" w:rsidRDefault="00650118" w:rsidP="001F769C">
            <w:pPr>
              <w:pStyle w:val="NoSpacing"/>
              <w:spacing w:line="259" w:lineRule="auto"/>
              <w:jc w:val="right"/>
            </w:pPr>
            <w:r>
              <w:t>262,450</w:t>
            </w:r>
            <w:r w:rsidR="003A0779">
              <w:t>.00</w:t>
            </w:r>
          </w:p>
        </w:tc>
      </w:tr>
      <w:tr w:rsidR="00910F61" w14:paraId="2C831764" w14:textId="77777777" w:rsidTr="00DD724E">
        <w:trPr>
          <w:trHeight w:val="373"/>
        </w:trPr>
        <w:tc>
          <w:tcPr>
            <w:tcW w:w="1525" w:type="dxa"/>
            <w:vMerge/>
            <w:vAlign w:val="center"/>
          </w:tcPr>
          <w:p w14:paraId="4904AC49" w14:textId="77777777" w:rsidR="00910F61" w:rsidRDefault="00910F61" w:rsidP="001F769C">
            <w:pPr>
              <w:pStyle w:val="NoSpacing"/>
              <w:spacing w:line="259" w:lineRule="auto"/>
              <w:jc w:val="right"/>
            </w:pPr>
          </w:p>
        </w:tc>
        <w:tc>
          <w:tcPr>
            <w:tcW w:w="3150" w:type="dxa"/>
            <w:vAlign w:val="center"/>
          </w:tcPr>
          <w:p w14:paraId="44BC46D9" w14:textId="662B05B8" w:rsidR="00910F61" w:rsidRDefault="00910F61" w:rsidP="001F769C">
            <w:pPr>
              <w:pStyle w:val="NoSpacing"/>
              <w:spacing w:line="259" w:lineRule="auto"/>
              <w:jc w:val="right"/>
            </w:pPr>
            <w:r w:rsidRPr="402734C5">
              <w:t>Auditing and Reporting</w:t>
            </w:r>
          </w:p>
        </w:tc>
        <w:tc>
          <w:tcPr>
            <w:tcW w:w="2994" w:type="dxa"/>
            <w:vAlign w:val="center"/>
          </w:tcPr>
          <w:p w14:paraId="494EBAE3" w14:textId="4C2566B5" w:rsidR="00910F61" w:rsidRDefault="00910F61" w:rsidP="001F769C">
            <w:pPr>
              <w:pStyle w:val="NoSpacing"/>
              <w:spacing w:line="259" w:lineRule="auto"/>
              <w:jc w:val="right"/>
            </w:pPr>
          </w:p>
        </w:tc>
        <w:tc>
          <w:tcPr>
            <w:tcW w:w="2946" w:type="dxa"/>
            <w:vAlign w:val="center"/>
          </w:tcPr>
          <w:p w14:paraId="606BFF71" w14:textId="491B3A76" w:rsidR="00910F61" w:rsidRDefault="00244230" w:rsidP="001F769C">
            <w:pPr>
              <w:pStyle w:val="NoSpacing"/>
              <w:spacing w:line="259" w:lineRule="auto"/>
              <w:jc w:val="right"/>
            </w:pPr>
            <w:r>
              <w:t>57,901.3</w:t>
            </w:r>
            <w:r w:rsidR="00650118">
              <w:t>4</w:t>
            </w:r>
          </w:p>
        </w:tc>
      </w:tr>
      <w:tr w:rsidR="00910F61" w14:paraId="666A0D15" w14:textId="77777777" w:rsidTr="00DD724E">
        <w:trPr>
          <w:trHeight w:val="373"/>
        </w:trPr>
        <w:tc>
          <w:tcPr>
            <w:tcW w:w="1525" w:type="dxa"/>
            <w:vMerge/>
            <w:vAlign w:val="center"/>
          </w:tcPr>
          <w:p w14:paraId="1D87E609" w14:textId="77777777" w:rsidR="00910F61" w:rsidRDefault="00910F61" w:rsidP="001F769C">
            <w:pPr>
              <w:pStyle w:val="NoSpacing"/>
              <w:spacing w:line="259" w:lineRule="auto"/>
              <w:jc w:val="right"/>
            </w:pPr>
          </w:p>
        </w:tc>
        <w:tc>
          <w:tcPr>
            <w:tcW w:w="3150" w:type="dxa"/>
            <w:vAlign w:val="center"/>
          </w:tcPr>
          <w:p w14:paraId="399E9AE1" w14:textId="4992435D" w:rsidR="00910F61" w:rsidRDefault="00910F61" w:rsidP="001F769C">
            <w:pPr>
              <w:pStyle w:val="NoSpacing"/>
              <w:spacing w:line="259" w:lineRule="auto"/>
              <w:jc w:val="right"/>
            </w:pPr>
            <w:r w:rsidRPr="402734C5">
              <w:t>Other</w:t>
            </w:r>
          </w:p>
        </w:tc>
        <w:tc>
          <w:tcPr>
            <w:tcW w:w="2994" w:type="dxa"/>
            <w:vAlign w:val="center"/>
          </w:tcPr>
          <w:p w14:paraId="0613B983" w14:textId="0704E792" w:rsidR="00910F61" w:rsidRDefault="00F06A42" w:rsidP="001F769C">
            <w:pPr>
              <w:pStyle w:val="NoSpacing"/>
              <w:spacing w:line="259" w:lineRule="auto"/>
              <w:jc w:val="right"/>
            </w:pPr>
            <w:r>
              <w:t>33,331.27</w:t>
            </w:r>
          </w:p>
        </w:tc>
        <w:tc>
          <w:tcPr>
            <w:tcW w:w="2946" w:type="dxa"/>
            <w:vAlign w:val="center"/>
          </w:tcPr>
          <w:p w14:paraId="0331D3B4" w14:textId="19ADC058" w:rsidR="00910F61" w:rsidRDefault="00DF3C2F" w:rsidP="001F769C">
            <w:pPr>
              <w:pStyle w:val="NoSpacing"/>
              <w:spacing w:line="259" w:lineRule="auto"/>
              <w:jc w:val="right"/>
            </w:pPr>
            <w:r>
              <w:t>18,988</w:t>
            </w:r>
            <w:r w:rsidR="00BD09C5">
              <w:t>.31</w:t>
            </w:r>
          </w:p>
        </w:tc>
      </w:tr>
      <w:tr w:rsidR="00910F61" w14:paraId="78CF72B4" w14:textId="77777777" w:rsidTr="00DD724E">
        <w:trPr>
          <w:trHeight w:val="373"/>
        </w:trPr>
        <w:tc>
          <w:tcPr>
            <w:tcW w:w="1525" w:type="dxa"/>
            <w:vMerge/>
            <w:vAlign w:val="center"/>
          </w:tcPr>
          <w:p w14:paraId="1798DB3B" w14:textId="77777777" w:rsidR="00910F61" w:rsidRDefault="00910F61" w:rsidP="001F769C">
            <w:pPr>
              <w:pStyle w:val="NoSpacing"/>
              <w:spacing w:line="259" w:lineRule="auto"/>
              <w:jc w:val="right"/>
            </w:pPr>
          </w:p>
        </w:tc>
        <w:tc>
          <w:tcPr>
            <w:tcW w:w="3150" w:type="dxa"/>
            <w:vAlign w:val="center"/>
          </w:tcPr>
          <w:p w14:paraId="77C96E91" w14:textId="3121A816" w:rsidR="00910F61" w:rsidRDefault="00910F61" w:rsidP="001F769C">
            <w:pPr>
              <w:pStyle w:val="NoSpacing"/>
              <w:spacing w:line="259" w:lineRule="auto"/>
              <w:jc w:val="right"/>
            </w:pPr>
            <w:r>
              <w:t>Sub-</w:t>
            </w:r>
            <w:r w:rsidRPr="402734C5">
              <w:t>Total</w:t>
            </w:r>
          </w:p>
        </w:tc>
        <w:tc>
          <w:tcPr>
            <w:tcW w:w="2994" w:type="dxa"/>
            <w:vAlign w:val="center"/>
          </w:tcPr>
          <w:p w14:paraId="1CA76F65" w14:textId="6329D8D9" w:rsidR="00910F61" w:rsidRDefault="0051600F" w:rsidP="001F769C">
            <w:pPr>
              <w:pStyle w:val="NoSpacing"/>
              <w:spacing w:line="259" w:lineRule="auto"/>
              <w:jc w:val="right"/>
            </w:pPr>
            <w:r>
              <w:t>80,532.19</w:t>
            </w:r>
          </w:p>
        </w:tc>
        <w:tc>
          <w:tcPr>
            <w:tcW w:w="2946" w:type="dxa"/>
            <w:vAlign w:val="center"/>
          </w:tcPr>
          <w:p w14:paraId="71337457" w14:textId="7CEDE324" w:rsidR="00910F61" w:rsidRDefault="00244230" w:rsidP="001F769C">
            <w:pPr>
              <w:pStyle w:val="NoSpacing"/>
              <w:spacing w:line="259" w:lineRule="auto"/>
              <w:jc w:val="right"/>
            </w:pPr>
            <w:r>
              <w:t>419,339.65</w:t>
            </w:r>
          </w:p>
        </w:tc>
      </w:tr>
      <w:tr w:rsidR="00910F61" w14:paraId="14CB7C68" w14:textId="77777777" w:rsidTr="00DD724E">
        <w:trPr>
          <w:trHeight w:val="373"/>
        </w:trPr>
        <w:tc>
          <w:tcPr>
            <w:tcW w:w="1525" w:type="dxa"/>
            <w:shd w:val="clear" w:color="auto" w:fill="002D72" w:themeFill="accent2"/>
            <w:vAlign w:val="center"/>
          </w:tcPr>
          <w:p w14:paraId="29CA301D" w14:textId="174EAEAD" w:rsidR="00910F61" w:rsidRDefault="00910F61" w:rsidP="001F769C">
            <w:pPr>
              <w:pStyle w:val="NoSpacing"/>
              <w:spacing w:line="259" w:lineRule="auto"/>
              <w:jc w:val="right"/>
            </w:pPr>
          </w:p>
        </w:tc>
        <w:tc>
          <w:tcPr>
            <w:tcW w:w="3150" w:type="dxa"/>
            <w:shd w:val="clear" w:color="auto" w:fill="002D72" w:themeFill="accent2"/>
            <w:vAlign w:val="center"/>
          </w:tcPr>
          <w:p w14:paraId="30E11712" w14:textId="6834077D" w:rsidR="00910F61" w:rsidRDefault="00910F61" w:rsidP="001F769C">
            <w:pPr>
              <w:pStyle w:val="NoSpacing"/>
              <w:spacing w:line="259" w:lineRule="auto"/>
              <w:jc w:val="right"/>
            </w:pPr>
          </w:p>
        </w:tc>
        <w:tc>
          <w:tcPr>
            <w:tcW w:w="2994" w:type="dxa"/>
            <w:shd w:val="clear" w:color="auto" w:fill="002D72" w:themeFill="accent2"/>
            <w:vAlign w:val="center"/>
          </w:tcPr>
          <w:p w14:paraId="753E433F" w14:textId="4ABBF952" w:rsidR="00910F61" w:rsidRDefault="00910F61" w:rsidP="001F769C">
            <w:pPr>
              <w:pStyle w:val="NoSpacing"/>
              <w:spacing w:line="259" w:lineRule="auto"/>
              <w:jc w:val="right"/>
            </w:pPr>
          </w:p>
        </w:tc>
        <w:tc>
          <w:tcPr>
            <w:tcW w:w="2946" w:type="dxa"/>
            <w:shd w:val="clear" w:color="auto" w:fill="002D72" w:themeFill="accent2"/>
            <w:vAlign w:val="center"/>
          </w:tcPr>
          <w:p w14:paraId="655CDB07" w14:textId="021EFD97" w:rsidR="00910F61" w:rsidRDefault="00910F61" w:rsidP="001F769C">
            <w:pPr>
              <w:pStyle w:val="NoSpacing"/>
              <w:spacing w:line="259" w:lineRule="auto"/>
              <w:jc w:val="right"/>
            </w:pPr>
          </w:p>
        </w:tc>
      </w:tr>
      <w:tr w:rsidR="00910F61" w14:paraId="16855838" w14:textId="77777777" w:rsidTr="00DD724E">
        <w:trPr>
          <w:trHeight w:val="373"/>
        </w:trPr>
        <w:tc>
          <w:tcPr>
            <w:tcW w:w="4675" w:type="dxa"/>
            <w:gridSpan w:val="2"/>
            <w:vAlign w:val="center"/>
          </w:tcPr>
          <w:p w14:paraId="53FD7F5E" w14:textId="7FA5AAE6" w:rsidR="00910F61" w:rsidRPr="001F769C" w:rsidRDefault="00910F61" w:rsidP="001F769C">
            <w:pPr>
              <w:pStyle w:val="NoSpacing"/>
              <w:spacing w:line="259" w:lineRule="auto"/>
              <w:jc w:val="right"/>
              <w:rPr>
                <w:b/>
                <w:bCs/>
              </w:rPr>
            </w:pPr>
            <w:r w:rsidRPr="001F769C">
              <w:rPr>
                <w:b/>
                <w:bCs/>
              </w:rPr>
              <w:t>Total</w:t>
            </w:r>
          </w:p>
        </w:tc>
        <w:tc>
          <w:tcPr>
            <w:tcW w:w="2994" w:type="dxa"/>
            <w:vAlign w:val="center"/>
          </w:tcPr>
          <w:p w14:paraId="30D2160A" w14:textId="0FC348E2" w:rsidR="00910F61" w:rsidRPr="001F769C" w:rsidRDefault="00244230" w:rsidP="001F769C">
            <w:pPr>
              <w:pStyle w:val="NoSpacing"/>
              <w:spacing w:line="259" w:lineRule="auto"/>
              <w:jc w:val="right"/>
              <w:rPr>
                <w:b/>
                <w:bCs/>
              </w:rPr>
            </w:pPr>
            <w:r>
              <w:rPr>
                <w:b/>
                <w:bCs/>
              </w:rPr>
              <w:t>165,005.01</w:t>
            </w:r>
          </w:p>
        </w:tc>
        <w:tc>
          <w:tcPr>
            <w:tcW w:w="2946" w:type="dxa"/>
            <w:vAlign w:val="center"/>
          </w:tcPr>
          <w:p w14:paraId="0E229DB3" w14:textId="0DA91E70" w:rsidR="00910F61" w:rsidRPr="001F769C" w:rsidRDefault="00244230" w:rsidP="001F769C">
            <w:pPr>
              <w:pStyle w:val="NoSpacing"/>
              <w:spacing w:line="259" w:lineRule="auto"/>
              <w:jc w:val="right"/>
              <w:rPr>
                <w:b/>
                <w:bCs/>
              </w:rPr>
            </w:pPr>
            <w:r>
              <w:rPr>
                <w:b/>
                <w:bCs/>
              </w:rPr>
              <w:t>1,749,915.66</w:t>
            </w: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2A2DD9A2" w:rsidR="00710C06" w:rsidRDefault="00046ECD" w:rsidP="009C42E6">
            <w:pPr>
              <w:spacing w:line="259" w:lineRule="auto"/>
              <w:rPr>
                <w:szCs w:val="20"/>
              </w:rPr>
            </w:pPr>
            <w:r>
              <w:rPr>
                <w:szCs w:val="20"/>
              </w:rPr>
              <w:t>ESSER 3.0 funds continue to be used to provide after school tutoring, credit recovery, highly effective assessment tools to identify levels of learning loss, and high quality materials to support teachers in core instruction and tiered intervention.</w:t>
            </w:r>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366DD7F0" w:rsidR="00710C06" w:rsidRDefault="002C12E8" w:rsidP="00F43493">
            <w:pPr>
              <w:spacing w:line="259" w:lineRule="auto"/>
              <w:rPr>
                <w:rFonts w:eastAsiaTheme="minorEastAsia"/>
                <w:szCs w:val="20"/>
              </w:rPr>
            </w:pPr>
            <w:r>
              <w:rPr>
                <w:rFonts w:eastAsiaTheme="minorEastAsia"/>
                <w:szCs w:val="20"/>
              </w:rPr>
              <w:t>There are several initiatives in both ESSER 2 and 3 in the “other” category. ESSER 2.0: Academics-Fringe benefits for educational assistants; ESSER director salary and fringe benefits</w:t>
            </w:r>
            <w:r w:rsidR="00F43493">
              <w:rPr>
                <w:rFonts w:eastAsiaTheme="minorEastAsia"/>
                <w:szCs w:val="20"/>
              </w:rPr>
              <w:t>.  ESSER 3.0: Academics- Fringe benefits for educational assistants.</w:t>
            </w: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7D161A0D" w:rsidR="00710C06" w:rsidRDefault="00F43493" w:rsidP="009C42E6">
            <w:pPr>
              <w:spacing w:line="259" w:lineRule="auto"/>
              <w:rPr>
                <w:szCs w:val="20"/>
              </w:rPr>
            </w:pPr>
            <w:r>
              <w:rPr>
                <w:szCs w:val="20"/>
              </w:rPr>
              <w:t>We continue to utilize ESSER 3.0 funding to meet the increased health referrals as a result of COVID, provide supports for those who do have means otherwise, and provide various academic and health resources as identified by the district needs assessment.</w:t>
            </w:r>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655C40B6" w:rsidR="00710C06" w:rsidRDefault="006956C9" w:rsidP="009C42E6">
            <w:pPr>
              <w:spacing w:line="259" w:lineRule="auto"/>
              <w:rPr>
                <w:szCs w:val="20"/>
              </w:rPr>
            </w:pPr>
            <w:r>
              <w:rPr>
                <w:szCs w:val="20"/>
              </w:rPr>
              <w:t xml:space="preserve">Initiatives in the “other” category include </w:t>
            </w:r>
            <w:r>
              <w:rPr>
                <w:rFonts w:eastAsiaTheme="minorEastAsia"/>
                <w:szCs w:val="20"/>
              </w:rPr>
              <w:t>salaries and fringe benefits for three nurses and two student security officers; various education programs to utilize for differentiation, virtual learning, and learning loss.</w:t>
            </w: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6634C954" w:rsidR="00710C06" w:rsidRDefault="006956C9" w:rsidP="009C42E6">
            <w:pPr>
              <w:spacing w:line="259" w:lineRule="auto"/>
              <w:rPr>
                <w:szCs w:val="20"/>
              </w:rPr>
            </w:pPr>
            <w:r>
              <w:rPr>
                <w:szCs w:val="20"/>
              </w:rPr>
              <w:t xml:space="preserve">ESSER 2.0 and 3.0 funding will continue to be utilized to ensure class sizes are smaller for better social distancing and better teacher/student ratio in order to better address loss of learning, a more competitive pay for substitute teachers in order to ensure academic priorities are met, and </w:t>
            </w:r>
            <w:r w:rsidR="007F7B40">
              <w:rPr>
                <w:szCs w:val="20"/>
              </w:rPr>
              <w:t>technology programs are easily accessible for virtual learning, differentiation, and learning loss. These initiatives will address various needs that were identified in the needs assessment.</w:t>
            </w:r>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2DECC0B0" w:rsidR="00710C06" w:rsidRDefault="006956C9" w:rsidP="009C42E6">
            <w:pPr>
              <w:spacing w:line="259" w:lineRule="auto"/>
              <w:rPr>
                <w:szCs w:val="20"/>
              </w:rPr>
            </w:pPr>
            <w:r>
              <w:rPr>
                <w:rFonts w:eastAsiaTheme="minorEastAsia"/>
                <w:szCs w:val="20"/>
              </w:rPr>
              <w:t>There are several initiatives in both ESSER 2 and 3 in the “other” category. ESSER 2.0 Fringe benefits for class size reduction teachers. ESSER 3.0-Salaries for certified and non-certified substitute teachers; fringe benefits for technology coaches and class size reduction teachers.</w:t>
            </w: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lastRenderedPageBreak/>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0509DF2C" w:rsidR="00710C06" w:rsidRDefault="007F7B40" w:rsidP="009C42E6">
            <w:pPr>
              <w:pStyle w:val="Default"/>
              <w:spacing w:line="259" w:lineRule="auto"/>
              <w:ind w:right="325"/>
              <w:rPr>
                <w:rFonts w:eastAsia="Calibri"/>
                <w:color w:val="000000" w:themeColor="text1"/>
                <w:sz w:val="20"/>
                <w:szCs w:val="20"/>
              </w:rPr>
            </w:pPr>
            <w:r w:rsidRPr="001851B8">
              <w:rPr>
                <w:sz w:val="20"/>
                <w:szCs w:val="20"/>
              </w:rPr>
              <w:t>WCSSD strives to provide a safe, enriching educational environment for all students in order to help mold them into knowledgeable, productive members of so</w:t>
            </w:r>
            <w:r>
              <w:rPr>
                <w:sz w:val="20"/>
                <w:szCs w:val="20"/>
              </w:rPr>
              <w:t xml:space="preserve">ciety. ESSER funding is allowing </w:t>
            </w:r>
            <w:r w:rsidRPr="001851B8">
              <w:rPr>
                <w:sz w:val="20"/>
                <w:szCs w:val="20"/>
              </w:rPr>
              <w:t>WCSSD the opportunity to fulfill our needs and obligations to our students and the community.</w:t>
            </w:r>
            <w:r>
              <w:rPr>
                <w:sz w:val="20"/>
                <w:szCs w:val="20"/>
              </w:rPr>
              <w:t xml:space="preserve"> Funding is being utilized to provide cleaner, safer areas for better social distancing and to provide and equipment in order to best meet the needs of students.</w:t>
            </w: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08B6BA2D" w14:textId="7C2BCA5B" w:rsidR="007F7B40" w:rsidRDefault="007F7B40" w:rsidP="007F7B40">
            <w:r>
              <w:rPr>
                <w:color w:val="000000" w:themeColor="text1"/>
                <w:szCs w:val="20"/>
              </w:rPr>
              <w:t xml:space="preserve">Funding is ESSER 2.0 is </w:t>
            </w:r>
            <w:r>
              <w:rPr>
                <w:rFonts w:eastAsiaTheme="minorEastAsia"/>
                <w:szCs w:val="20"/>
              </w:rPr>
              <w:t>being utilized to place fencing for playground expansion to allow for social distancing while keeping students safer. ESSER 3.0 is allowing funding for additional cafeteria equipment that will allow food services to better meet the needs of all students.</w:t>
            </w:r>
          </w:p>
          <w:p w14:paraId="7502AA08" w14:textId="5F1D685F" w:rsidR="00710C06" w:rsidRDefault="00710C06" w:rsidP="009C42E6">
            <w:pPr>
              <w:pStyle w:val="Default"/>
              <w:spacing w:line="259" w:lineRule="auto"/>
              <w:ind w:right="325"/>
              <w:rPr>
                <w:color w:val="000000" w:themeColor="text1"/>
                <w:sz w:val="20"/>
                <w:szCs w:val="20"/>
              </w:rPr>
            </w:pP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9C7E444" w14:textId="14F1908A" w:rsidR="00710C06" w:rsidRDefault="0054154C" w:rsidP="009C42E6">
            <w:pPr>
              <w:spacing w:line="259" w:lineRule="auto"/>
              <w:rPr>
                <w:szCs w:val="20"/>
              </w:rPr>
            </w:pPr>
            <w:r>
              <w:rPr>
                <w:szCs w:val="20"/>
              </w:rPr>
              <w:t>A team of stakeholders meets</w:t>
            </w:r>
            <w:r w:rsidR="007F7B40">
              <w:rPr>
                <w:szCs w:val="20"/>
              </w:rPr>
              <w:t xml:space="preserve"> regularly to assess the progress on the use of ESSER 2.0 and 3.0 funding and the efficiency and effectiveness of the meeting of the needs of students with these funds. Additionally, </w:t>
            </w:r>
            <w:r w:rsidR="007F7B40">
              <w:t xml:space="preserve">West Carroll Special School District’s ESSER director is responsible for overseeing all aspects of the ESSER 3.0 application and ensuring implementation and reporting with fidelity. The ESSER director is involved in all correspondence and training regarding ESSER allocations, budgeting, allowability, spending, and reporting. The director receives monthly expenditure reports, which are reconciled with the budget and allowability. The Director of Schools and the Director of Finance review these expenditure reports. The WCSSD finance director conducts internal audits monthly to ensure allowability and balanced books. ESSER budget reports are made to the school board at various monthly board meetings. These meetings are public and covered by local media including our local newspapers. Additionally, public surveys will continue to assess any new concerns or input regarding </w:t>
            </w:r>
            <w:r>
              <w:t>ESSER expenditures</w:t>
            </w:r>
            <w:r w:rsidR="007F7B40">
              <w:t xml:space="preserve"> and spending plans. The ESSER 3.0 director collects data elements required to be reported with assistance from other district and school level staff and an outside auditing agency where appropriate. WCSSD's Federal Programs Director works closely with the ESSER 3.0 director to ensure that all data and reporting are completed.</w:t>
            </w:r>
          </w:p>
        </w:tc>
      </w:tr>
    </w:tbl>
    <w:p w14:paraId="4E6CECC6" w14:textId="43C448E3" w:rsidR="009728BA" w:rsidRPr="0048298A" w:rsidRDefault="009728BA" w:rsidP="009C42E6">
      <w:pPr>
        <w:rPr>
          <w:szCs w:val="20"/>
        </w:rPr>
      </w:pPr>
    </w:p>
    <w:p w14:paraId="4E1F0EE3" w14:textId="29E95AC3" w:rsidR="5FB7AD73" w:rsidRPr="0048298A" w:rsidRDefault="0EA5EBDC" w:rsidP="009C42E6">
      <w:pPr>
        <w:pStyle w:val="ListParagraph"/>
        <w:keepNext/>
        <w:numPr>
          <w:ilvl w:val="0"/>
          <w:numId w:val="6"/>
        </w:numPr>
        <w:ind w:left="187" w:hanging="187"/>
      </w:pPr>
      <w:r w:rsidRPr="72D748CF">
        <w:rPr>
          <w:color w:val="000000" w:themeColor="text1"/>
        </w:rPr>
        <w:t xml:space="preserve">Describe how the LEA is meeting </w:t>
      </w:r>
      <w:r>
        <w:t xml:space="preserve">the requirements to spend 20 percent of </w:t>
      </w:r>
      <w:r w:rsidRPr="72D748CF">
        <w:rPr>
          <w:b/>
          <w:bCs/>
          <w:u w:val="single"/>
        </w:rPr>
        <w:t>the total ESSER 3.0</w:t>
      </w:r>
      <w:r w:rsidR="6B164A65">
        <w:t xml:space="preserve"> </w:t>
      </w:r>
      <w:r w:rsidR="6B164A65" w:rsidRPr="72D748CF">
        <w:rPr>
          <w:b/>
          <w:bCs/>
          <w:u w:val="single"/>
        </w:rPr>
        <w:t>allocation</w:t>
      </w:r>
      <w:r w:rsidR="6B164A65">
        <w:t xml:space="preserve"> </w:t>
      </w:r>
      <w:r>
        <w:t xml:space="preserve"> on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3D6483BB" w:rsidR="00B1558F" w:rsidRDefault="00F92D46" w:rsidP="009C42E6">
            <w:pPr>
              <w:pStyle w:val="CM11"/>
              <w:spacing w:after="190" w:line="259" w:lineRule="auto"/>
              <w:rPr>
                <w:rFonts w:cs="Open Sans"/>
                <w:b/>
                <w:bCs/>
                <w:i/>
                <w:iCs/>
                <w:color w:val="000000" w:themeColor="text1"/>
                <w:sz w:val="20"/>
                <w:szCs w:val="20"/>
              </w:rPr>
            </w:pPr>
            <w:r>
              <w:rPr>
                <w:rFonts w:cs="Open Sans"/>
                <w:bCs/>
                <w:iCs/>
                <w:color w:val="000000" w:themeColor="text1"/>
                <w:sz w:val="20"/>
                <w:szCs w:val="20"/>
              </w:rPr>
              <w:t>In order to meet the requirements to spend 20 % of ESSER 3.0 on direct services to students to address learning loss, WCSSD had and will continue to fund several initiatives. Summer school and after-school tutoring will address students’ learning loss by allowing them to receive extra help, instruction, and credits. Classroom reductions by adding additional teachers/classrooms has also allowed for smaller class sizes and smaller teacher/student ratios. Educational assistant positions have been and continue to be added in order to supply students with additional help.</w:t>
            </w: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lastRenderedPageBreak/>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3"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3"/>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486956ED" w:rsidR="00B1558F" w:rsidRDefault="00F92D46" w:rsidP="009C42E6">
            <w:pPr>
              <w:spacing w:line="259" w:lineRule="auto"/>
              <w:rPr>
                <w:szCs w:val="20"/>
              </w:rPr>
            </w:pPr>
            <w:r>
              <w:t>WCSS meaningfully engages with all stakeholders through various forms of outlets including but not limited to social media, in-person/virtual family engagement meetings, virtual/in-person office hours, and community gatherings. WCSSD will continue to provide all of these avenues of stakeholder involvement for federal funding. Some additional groups we will continue to target include but are not limited to minority families, families that include students with disabilities or who are incarcerated, or who are homeless represented within our district and community businesses such as banks, eateries, etc. WCSSD will continue to meaningfully include all stakeholders by providing ongoing communication with all groups through digital means such as social media and online platforms where surveys, updated information, and other communication will be provided in reader-friendly, native language avenues. WCSSD will continue to utilize other means of seeking input from all groups of stakeholders by providing an avenue for input and communication through Parent Reach and the all call system.</w:t>
            </w:r>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418C7BE8" w14:textId="57D091AE" w:rsidR="00B1558F" w:rsidRDefault="00F92D46" w:rsidP="009C42E6">
            <w:pPr>
              <w:spacing w:line="259" w:lineRule="auto"/>
              <w:rPr>
                <w:szCs w:val="20"/>
              </w:rPr>
            </w:pPr>
            <w:r>
              <w:rPr>
                <w:szCs w:val="20"/>
              </w:rPr>
              <w:t xml:space="preserve">WCSSD engaged and continues to engage stakeholders and receive responses from them at minimum 10 %. Students, families, elected officials and school board members, school and district administrators, principals, school leaders, other educators, school staff, and students with disabilities all supply responses to our communication about ESSER funding. Digital surveys have been taken during school hours and </w:t>
            </w:r>
            <w:r>
              <w:t>community surveys have been and continue to be completed via school website, email, and open house. Open office hours provide time for feedback from stockholders. School board meeting discussions, leadership meetings, PLCs, district administrator meetings, faculty and staff meetings, and district meetings with special education supervisors and teachers all provide various avenues for responses by stakeholders.</w:t>
            </w: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3466477A" w:rsidR="00B1558F" w:rsidRDefault="00F92D46" w:rsidP="009C42E6">
            <w:pPr>
              <w:spacing w:line="259" w:lineRule="auto"/>
              <w:rPr>
                <w:szCs w:val="20"/>
              </w:rPr>
            </w:pPr>
            <w:r>
              <w:rPr>
                <w:szCs w:val="20"/>
              </w:rPr>
              <w:t xml:space="preserve">The ESSER team of stakeholders meet regularly to study past and current input from stakeholders. After looking at the demographics and general make up of WCSSD and the community, </w:t>
            </w:r>
            <w:r w:rsidR="00011184">
              <w:rPr>
                <w:szCs w:val="20"/>
              </w:rPr>
              <w:t xml:space="preserve">the ESSER team </w:t>
            </w:r>
            <w:r>
              <w:rPr>
                <w:szCs w:val="20"/>
              </w:rPr>
              <w:t>determine</w:t>
            </w:r>
            <w:r w:rsidR="00011184">
              <w:rPr>
                <w:szCs w:val="20"/>
              </w:rPr>
              <w:t>s</w:t>
            </w:r>
            <w:r>
              <w:rPr>
                <w:szCs w:val="20"/>
              </w:rPr>
              <w:t xml:space="preserve"> various modes of contact to reach the diverse population of stakeholders. In the event an area of stakeholders was not properly represented with responses, the team </w:t>
            </w:r>
            <w:r w:rsidR="00011184">
              <w:rPr>
                <w:szCs w:val="20"/>
              </w:rPr>
              <w:t xml:space="preserve">devises </w:t>
            </w:r>
            <w:r>
              <w:rPr>
                <w:szCs w:val="20"/>
              </w:rPr>
              <w:t>plans to reach out with other forms of communication in order to seek feedback.</w:t>
            </w:r>
            <w:r w:rsidR="00502368">
              <w:rPr>
                <w:szCs w:val="20"/>
              </w:rPr>
              <w:t xml:space="preserve"> For example, our ESL director has translated ESSER documents into other languages to engage parents of ESL students and our special education director has reached out for input from students and parents in our special education programs.</w:t>
            </w:r>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47FA3ED5" w:rsidR="00B1558F" w:rsidRDefault="00011184" w:rsidP="009C42E6">
            <w:pPr>
              <w:spacing w:line="259" w:lineRule="auto"/>
              <w:rPr>
                <w:rFonts w:eastAsiaTheme="minorEastAsia"/>
                <w:szCs w:val="20"/>
              </w:rPr>
            </w:pPr>
            <w:r>
              <w:t>West Carroll Special School District has devoted a space on the website and social media page for t</w:t>
            </w:r>
            <w:r w:rsidR="00850AE0">
              <w:t>he ESSER grant</w:t>
            </w:r>
            <w:r w:rsidR="008C3695">
              <w:t>s</w:t>
            </w:r>
            <w:r w:rsidR="00850AE0">
              <w:t>. We have uploaded</w:t>
            </w:r>
            <w:r>
              <w:t xml:space="preserve"> the Needs Assessment, Community Engagement Plan, Safe Return to In-Person Instruction and the Public Plan -Federal Relief Spending when directed. We are giving updates at regular meetings such as School Board Meetings and Administrator Meetings. WCSSD will continue to meaningfully engage with all stakeholders through various forms of outlets including but not limited to social media, in-person/virtual family engagement meetings, virtual/in-person office hours, and </w:t>
            </w:r>
            <w:r w:rsidR="008C3695">
              <w:t xml:space="preserve">community gatherings. </w:t>
            </w:r>
            <w:r w:rsidR="0054154C">
              <w:t xml:space="preserve">WCSSD </w:t>
            </w:r>
            <w:r w:rsidR="0054154C">
              <w:lastRenderedPageBreak/>
              <w:t>continues</w:t>
            </w:r>
            <w:r>
              <w:t xml:space="preserve"> to provide all of these avenues of stakeholder involvement for federal funding. Some additional groups we will target include but are not limited to minority families, families that include students with disabilities or who are incarcerated, or who are homeless represented within our district and community businesses such as banks, eateries, etc. WCSSD will continue to meaningfully include all stakeholders by providing ongoing communication with all groups through digital means such as social media and online platforms where surveys, updated information, and other communication will be provided in reader-friendly avenues. WCSSD will continue to utilize other means of seeking input from all groups of stakeholders by providing an avenue for input and communication through Parent Reach and the all call system as well.</w:t>
            </w:r>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598E" w14:textId="77777777" w:rsidR="009229A0" w:rsidRDefault="009229A0" w:rsidP="001A7FA9">
      <w:r>
        <w:separator/>
      </w:r>
    </w:p>
  </w:endnote>
  <w:endnote w:type="continuationSeparator" w:id="0">
    <w:p w14:paraId="0BEA7550" w14:textId="77777777" w:rsidR="009229A0" w:rsidRDefault="009229A0" w:rsidP="001A7FA9">
      <w:r>
        <w:continuationSeparator/>
      </w:r>
    </w:p>
  </w:endnote>
  <w:endnote w:type="continuationNotice" w:id="1">
    <w:p w14:paraId="5AD2F6C3" w14:textId="77777777" w:rsidR="009229A0" w:rsidRDefault="00922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2C28" w14:textId="6B474B0A" w:rsidR="00F939F8" w:rsidRPr="00F939F8" w:rsidRDefault="00F939F8"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oel="http://schemas.microsoft.com/office/2019/extlst">
          <w:pict>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2945A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">
              <v:stroke joinstyle="miter"/>
            </v:line>
          </w:pict>
        </mc:Fallback>
      </mc:AlternateContent>
    </w:r>
    <w:r w:rsidRPr="00F939F8">
      <w:t>Division of Federal Programs and Oversight</w:t>
    </w:r>
    <w:r w:rsidRPr="00F939F8">
      <w:tab/>
    </w:r>
    <w:r w:rsidRPr="00F939F8">
      <w:rPr>
        <w:rFonts w:eastAsia="Open Sans"/>
        <w:color w:val="1D1D1E" w:themeColor="background2" w:themeShade="40"/>
        <w:shd w:val="clear" w:color="auto" w:fill="E6E6E6"/>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shd w:val="clear" w:color="auto" w:fill="E6E6E6"/>
      </w:rPr>
      <w:fldChar w:fldCharType="separate"/>
    </w:r>
    <w:r w:rsidR="001A20B8">
      <w:rPr>
        <w:rFonts w:eastAsia="Open Sans"/>
        <w:noProof/>
        <w:color w:val="1D1D1E" w:themeColor="background2" w:themeShade="40"/>
      </w:rPr>
      <w:t>7</w:t>
    </w:r>
    <w:r w:rsidRPr="00F939F8">
      <w:rPr>
        <w:rFonts w:eastAsia="Open Sans"/>
        <w:noProof/>
        <w:color w:val="1D1D1E" w:themeColor="background2" w:themeShade="40"/>
        <w:shd w:val="clear" w:color="auto" w:fill="E6E6E6"/>
      </w:rPr>
      <w:fldChar w:fldCharType="end"/>
    </w:r>
    <w:r w:rsidRPr="00F939F8">
      <w:rPr>
        <w:rFonts w:eastAsia="Open Sans"/>
        <w:noProof/>
        <w:color w:val="1D1D1E" w:themeColor="background2" w:themeShade="40"/>
      </w:rPr>
      <w:t xml:space="preserve"> | </w:t>
    </w:r>
    <w:r w:rsidR="00670931">
      <w:rPr>
        <w:rFonts w:eastAsia="Open Sans"/>
        <w:noProof/>
        <w:color w:val="1D1D1E" w:themeColor="background2" w:themeShade="40"/>
      </w:rPr>
      <w:t>August 2022</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C52C3" w14:textId="77777777" w:rsidR="009229A0" w:rsidRDefault="009229A0" w:rsidP="001A7FA9">
      <w:r>
        <w:separator/>
      </w:r>
    </w:p>
  </w:footnote>
  <w:footnote w:type="continuationSeparator" w:id="0">
    <w:p w14:paraId="4CFC5DC2" w14:textId="77777777" w:rsidR="009229A0" w:rsidRDefault="009229A0" w:rsidP="001A7FA9">
      <w:r>
        <w:continuationSeparator/>
      </w:r>
    </w:p>
  </w:footnote>
  <w:footnote w:type="continuationNotice" w:id="1">
    <w:p w14:paraId="59ADC4A3" w14:textId="77777777" w:rsidR="009229A0" w:rsidRDefault="00922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F681" w14:textId="19161107" w:rsidR="00AD3483" w:rsidRDefault="00AD3483" w:rsidP="001A7FA9">
    <w:pPr>
      <w:pStyle w:val="Header"/>
    </w:pPr>
    <w:r>
      <w:rPr>
        <w:noProof/>
        <w:color w:val="2B579A"/>
        <w:shd w:val="clear" w:color="auto" w:fill="E6E6E6"/>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UwsDAyNbc0MTRR0lEKTi0uzszPAykwrwUAwxb/jywAAAA="/>
  </w:docVars>
  <w:rsids>
    <w:rsidRoot w:val="009D26F8"/>
    <w:rsid w:val="00011184"/>
    <w:rsid w:val="0003440C"/>
    <w:rsid w:val="00040B86"/>
    <w:rsid w:val="00046ECD"/>
    <w:rsid w:val="0005449C"/>
    <w:rsid w:val="000560A1"/>
    <w:rsid w:val="00076774"/>
    <w:rsid w:val="000D02F9"/>
    <w:rsid w:val="000D2F3C"/>
    <w:rsid w:val="000D5374"/>
    <w:rsid w:val="000E654C"/>
    <w:rsid w:val="0010004C"/>
    <w:rsid w:val="00104158"/>
    <w:rsid w:val="001111B7"/>
    <w:rsid w:val="00117B57"/>
    <w:rsid w:val="00132D16"/>
    <w:rsid w:val="00142586"/>
    <w:rsid w:val="0014605E"/>
    <w:rsid w:val="00147A5F"/>
    <w:rsid w:val="001511E8"/>
    <w:rsid w:val="001742FE"/>
    <w:rsid w:val="00174528"/>
    <w:rsid w:val="00177DB1"/>
    <w:rsid w:val="001A20B8"/>
    <w:rsid w:val="001A7FA9"/>
    <w:rsid w:val="001B5E69"/>
    <w:rsid w:val="001C00D8"/>
    <w:rsid w:val="001D103F"/>
    <w:rsid w:val="001D3EC7"/>
    <w:rsid w:val="001E57BD"/>
    <w:rsid w:val="001E750F"/>
    <w:rsid w:val="001F769C"/>
    <w:rsid w:val="00215D08"/>
    <w:rsid w:val="002227A1"/>
    <w:rsid w:val="00226D18"/>
    <w:rsid w:val="0022EB98"/>
    <w:rsid w:val="00244230"/>
    <w:rsid w:val="00255D33"/>
    <w:rsid w:val="0026231F"/>
    <w:rsid w:val="0027430A"/>
    <w:rsid w:val="002A1AD1"/>
    <w:rsid w:val="002B5A6A"/>
    <w:rsid w:val="002C12E8"/>
    <w:rsid w:val="002C5BB5"/>
    <w:rsid w:val="002C73D9"/>
    <w:rsid w:val="002F7152"/>
    <w:rsid w:val="00302308"/>
    <w:rsid w:val="00307EE0"/>
    <w:rsid w:val="00317F99"/>
    <w:rsid w:val="003237BE"/>
    <w:rsid w:val="00334976"/>
    <w:rsid w:val="00334CEA"/>
    <w:rsid w:val="0037135F"/>
    <w:rsid w:val="003A0779"/>
    <w:rsid w:val="003B2CB1"/>
    <w:rsid w:val="003F7882"/>
    <w:rsid w:val="00420537"/>
    <w:rsid w:val="00440748"/>
    <w:rsid w:val="00452E6C"/>
    <w:rsid w:val="0048298A"/>
    <w:rsid w:val="00494694"/>
    <w:rsid w:val="00495FF4"/>
    <w:rsid w:val="004A33E7"/>
    <w:rsid w:val="004D30A0"/>
    <w:rsid w:val="004D5C02"/>
    <w:rsid w:val="004E350C"/>
    <w:rsid w:val="004F191B"/>
    <w:rsid w:val="00502368"/>
    <w:rsid w:val="005054B1"/>
    <w:rsid w:val="00507209"/>
    <w:rsid w:val="0051270A"/>
    <w:rsid w:val="005128C4"/>
    <w:rsid w:val="00512A22"/>
    <w:rsid w:val="0051600F"/>
    <w:rsid w:val="00525CE5"/>
    <w:rsid w:val="0054154C"/>
    <w:rsid w:val="00571F26"/>
    <w:rsid w:val="00576337"/>
    <w:rsid w:val="005C1902"/>
    <w:rsid w:val="005C2FCE"/>
    <w:rsid w:val="005C5D73"/>
    <w:rsid w:val="005E7A44"/>
    <w:rsid w:val="005F1C7A"/>
    <w:rsid w:val="0060227F"/>
    <w:rsid w:val="006053C8"/>
    <w:rsid w:val="00605B5D"/>
    <w:rsid w:val="00650118"/>
    <w:rsid w:val="0065435C"/>
    <w:rsid w:val="00654A8C"/>
    <w:rsid w:val="0065663F"/>
    <w:rsid w:val="00670931"/>
    <w:rsid w:val="00671B5E"/>
    <w:rsid w:val="0069139E"/>
    <w:rsid w:val="006956C9"/>
    <w:rsid w:val="006B68D6"/>
    <w:rsid w:val="006D7E77"/>
    <w:rsid w:val="006F47D3"/>
    <w:rsid w:val="006F623F"/>
    <w:rsid w:val="006F6243"/>
    <w:rsid w:val="0070221B"/>
    <w:rsid w:val="00710C06"/>
    <w:rsid w:val="00720A6B"/>
    <w:rsid w:val="00744590"/>
    <w:rsid w:val="00770495"/>
    <w:rsid w:val="00796CEB"/>
    <w:rsid w:val="007C04F8"/>
    <w:rsid w:val="007D615F"/>
    <w:rsid w:val="007E266A"/>
    <w:rsid w:val="007F7B40"/>
    <w:rsid w:val="0080296C"/>
    <w:rsid w:val="00812F48"/>
    <w:rsid w:val="00813185"/>
    <w:rsid w:val="00841D07"/>
    <w:rsid w:val="00850AE0"/>
    <w:rsid w:val="00862E7B"/>
    <w:rsid w:val="0087365E"/>
    <w:rsid w:val="00875527"/>
    <w:rsid w:val="008A05BD"/>
    <w:rsid w:val="008A2C31"/>
    <w:rsid w:val="008A46DD"/>
    <w:rsid w:val="008C3695"/>
    <w:rsid w:val="008D620C"/>
    <w:rsid w:val="00901833"/>
    <w:rsid w:val="009107EB"/>
    <w:rsid w:val="00910F61"/>
    <w:rsid w:val="009229A0"/>
    <w:rsid w:val="0093002D"/>
    <w:rsid w:val="009723A4"/>
    <w:rsid w:val="009728BA"/>
    <w:rsid w:val="00977B79"/>
    <w:rsid w:val="00981AE6"/>
    <w:rsid w:val="009835B5"/>
    <w:rsid w:val="009866FC"/>
    <w:rsid w:val="0098721F"/>
    <w:rsid w:val="009909BF"/>
    <w:rsid w:val="009B3542"/>
    <w:rsid w:val="009C42E6"/>
    <w:rsid w:val="009D26F8"/>
    <w:rsid w:val="009D4817"/>
    <w:rsid w:val="009D6AA7"/>
    <w:rsid w:val="00A736C0"/>
    <w:rsid w:val="00A82B4B"/>
    <w:rsid w:val="00A92CA8"/>
    <w:rsid w:val="00AB2908"/>
    <w:rsid w:val="00AC5237"/>
    <w:rsid w:val="00AD3483"/>
    <w:rsid w:val="00AE17ED"/>
    <w:rsid w:val="00B14B5C"/>
    <w:rsid w:val="00B1558F"/>
    <w:rsid w:val="00B27D41"/>
    <w:rsid w:val="00B512C2"/>
    <w:rsid w:val="00B5318E"/>
    <w:rsid w:val="00B97EC0"/>
    <w:rsid w:val="00BA4372"/>
    <w:rsid w:val="00BB17D8"/>
    <w:rsid w:val="00BD09C5"/>
    <w:rsid w:val="00BD2DBF"/>
    <w:rsid w:val="00BD3BB8"/>
    <w:rsid w:val="00BE4980"/>
    <w:rsid w:val="00BE7266"/>
    <w:rsid w:val="00BF0995"/>
    <w:rsid w:val="00BF2B1A"/>
    <w:rsid w:val="00BF6085"/>
    <w:rsid w:val="00C0642B"/>
    <w:rsid w:val="00C15CBF"/>
    <w:rsid w:val="00C15EC4"/>
    <w:rsid w:val="00C23810"/>
    <w:rsid w:val="00C33292"/>
    <w:rsid w:val="00C44922"/>
    <w:rsid w:val="00C47929"/>
    <w:rsid w:val="00C6556D"/>
    <w:rsid w:val="00C67BA4"/>
    <w:rsid w:val="00C978A5"/>
    <w:rsid w:val="00CB76B5"/>
    <w:rsid w:val="00CC1B52"/>
    <w:rsid w:val="00CD1081"/>
    <w:rsid w:val="00CD17FE"/>
    <w:rsid w:val="00CD4644"/>
    <w:rsid w:val="00CE21C8"/>
    <w:rsid w:val="00CE4717"/>
    <w:rsid w:val="00CE7935"/>
    <w:rsid w:val="00D219B3"/>
    <w:rsid w:val="00D319F0"/>
    <w:rsid w:val="00D405FD"/>
    <w:rsid w:val="00D52F54"/>
    <w:rsid w:val="00D907DC"/>
    <w:rsid w:val="00D93009"/>
    <w:rsid w:val="00D96F92"/>
    <w:rsid w:val="00DC3559"/>
    <w:rsid w:val="00DD669C"/>
    <w:rsid w:val="00DD724E"/>
    <w:rsid w:val="00DE2C5B"/>
    <w:rsid w:val="00DF0848"/>
    <w:rsid w:val="00DF2F9D"/>
    <w:rsid w:val="00DF3C2F"/>
    <w:rsid w:val="00E36368"/>
    <w:rsid w:val="00E41DB0"/>
    <w:rsid w:val="00E81D2D"/>
    <w:rsid w:val="00E83F65"/>
    <w:rsid w:val="00EC0B8E"/>
    <w:rsid w:val="00ED2262"/>
    <w:rsid w:val="00ED2731"/>
    <w:rsid w:val="00EE3268"/>
    <w:rsid w:val="00EE7B46"/>
    <w:rsid w:val="00F00372"/>
    <w:rsid w:val="00F06A42"/>
    <w:rsid w:val="00F32348"/>
    <w:rsid w:val="00F43493"/>
    <w:rsid w:val="00F55256"/>
    <w:rsid w:val="00F55545"/>
    <w:rsid w:val="00F560CC"/>
    <w:rsid w:val="00F75F93"/>
    <w:rsid w:val="00F92D46"/>
    <w:rsid w:val="00F939F8"/>
    <w:rsid w:val="00F94838"/>
    <w:rsid w:val="00FA17B9"/>
    <w:rsid w:val="00FC3AB9"/>
    <w:rsid w:val="00FC5126"/>
    <w:rsid w:val="00FC6EF3"/>
    <w:rsid w:val="00FDEAD5"/>
    <w:rsid w:val="00FE7CDC"/>
    <w:rsid w:val="00FE7F66"/>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95CB"/>
  <w15:chartTrackingRefBased/>
  <w15:docId w15:val="{C7574820-6664-47E8-A294-2E061D6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customStyle="1"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79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EB"/>
    <w:rPr>
      <w:rFonts w:ascii="Segoe UI" w:hAnsi="Segoe UI" w:cs="Segoe UI"/>
      <w:sz w:val="18"/>
      <w:szCs w:val="18"/>
    </w:rPr>
  </w:style>
  <w:style w:type="character" w:customStyle="1" w:styleId="titlechar0">
    <w:name w:val="titlechar"/>
    <w:basedOn w:val="DefaultParagraphFont"/>
    <w:rsid w:val="001A20B8"/>
  </w:style>
  <w:style w:type="paragraph" w:customStyle="1" w:styleId="cm10">
    <w:name w:val="cm1"/>
    <w:basedOn w:val="Normal"/>
    <w:rsid w:val="001A2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1A2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10">
    <w:name w:val="cm11"/>
    <w:basedOn w:val="Normal"/>
    <w:rsid w:val="001A2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 w:id="173280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3C383F-A521-494F-A1E8-851F189C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3.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ESSER 3.0 Public Plan Federal Relief Spending Addendum Year 2</vt:lpstr>
    </vt:vector>
  </TitlesOfParts>
  <Company/>
  <LinksUpToDate>false</LinksUpToDate>
  <CharactersWithSpaces>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Michelle.Robinson</cp:lastModifiedBy>
  <cp:revision>2</cp:revision>
  <cp:lastPrinted>2022-09-13T17:32:00Z</cp:lastPrinted>
  <dcterms:created xsi:type="dcterms:W3CDTF">2022-10-20T17:22:00Z</dcterms:created>
  <dcterms:modified xsi:type="dcterms:W3CDTF">2022-10-20T17:22:00Z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