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03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Clatskanie District Belonging Committee</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DATE: </w:t>
      </w:r>
      <w:r w:rsidDel="00000000" w:rsidR="00000000" w:rsidRPr="00000000">
        <w:rPr>
          <w:rtl w:val="0"/>
        </w:rPr>
        <w:t xml:space="preserve">April 7, 2025</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PRESENTOR: </w:t>
      </w:r>
      <w:r w:rsidDel="00000000" w:rsidR="00000000" w:rsidRPr="00000000">
        <w:rPr>
          <w:rtl w:val="0"/>
        </w:rPr>
        <w:t xml:space="preserve">Danielle Hudson, Ed.D., Superintendent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POLICY ISSUE/ SITUATION: </w:t>
      </w:r>
      <w:r w:rsidDel="00000000" w:rsidR="00000000" w:rsidRPr="00000000">
        <w:rPr>
          <w:rtl w:val="0"/>
        </w:rPr>
        <w:t xml:space="preserve">Development of a CSD Belonging Committee</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RECOMMENDATION: </w:t>
      </w:r>
      <w:r w:rsidDel="00000000" w:rsidR="00000000" w:rsidRPr="00000000">
        <w:rPr>
          <w:rtl w:val="0"/>
        </w:rPr>
        <w:t xml:space="preserve">Review information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INFORMATION:</w:t>
      </w:r>
    </w:p>
    <w:p w:rsidR="00000000" w:rsidDel="00000000" w:rsidP="00000000" w:rsidRDefault="00000000" w:rsidRPr="00000000" w14:paraId="00000014">
      <w:pPr>
        <w:rPr/>
      </w:pPr>
      <w:r w:rsidDel="00000000" w:rsidR="00000000" w:rsidRPr="00000000">
        <w:rPr>
          <w:rtl w:val="0"/>
        </w:rPr>
        <w:t xml:space="preserve">Districts with an average daily membership of 10,000 or less are required to first convene a District Equity Committee by September 15, 2025.2 OAR 581-022-2307 states that a DEC “shall be selected by the school district board and school district superintendent and must be composed of parents, employees, students and community members from the school district.” In addition, “the school district superintendent is responsible for coordinating the member nomination process and proposing finalists to the school district board.”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 DEC can inform and advise their school board and superintendent on a number of topics, including the experiences of historically-underserved student groups, the educational equity impacts of policy decisions, and the larger district-wide climate. DECs are responsible for highlighting school-specific situations that impact underrepresented students, and considering whether such situations are unique or systemic. DECs are meant to supplement and support local leadership in understanding how their decisions have affected students, and what they can do to make positive impacts.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Important information for the School Board:</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A DBC shall be selected by the school district board and school district superintendent and must be composed of parents, employees, students and community members from the school district.</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The school district superintendent is responsible for coordinating the member nomination process and proposing finalists to the school district board. </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The school district board and school district superintendent, in consultation with the educational equity advisory committee, shall fill vacancies on the committee in the same manner as original appointments</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The school district board is responsible for appointing members from those proposed by the superintendent, and ensuring that membership is primarily representative of underserved student groups.</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The school district board, in consultation with the District Belonging Committee, must select at least one member of the District Belonging Committee to serve on the school district budget committee. A budget committee is not required to include a member of the District Equity Committee of the school district until a vacancy on the budget committee occurs by a member who is not also a member of the school district board.</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Committee nominees will be brought to the school board at the June board meeting for appointment.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Our committee will be titled the District Belonging Committee.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DOCUMENT(S):</w:t>
      </w:r>
    </w:p>
    <w:p w:rsidR="00000000" w:rsidDel="00000000" w:rsidP="00000000" w:rsidRDefault="00000000" w:rsidRPr="00000000" w14:paraId="00000024">
      <w:pPr>
        <w:numPr>
          <w:ilvl w:val="0"/>
          <w:numId w:val="3"/>
        </w:numPr>
        <w:ind w:left="720" w:hanging="360"/>
      </w:pPr>
      <w:hyperlink r:id="rId8">
        <w:r w:rsidDel="00000000" w:rsidR="00000000" w:rsidRPr="00000000">
          <w:rPr>
            <w:color w:val="1155cc"/>
            <w:u w:val="single"/>
            <w:rtl w:val="0"/>
          </w:rPr>
          <w:t xml:space="preserve">Establishing a District Equity Committee Guidance from ODE</w:t>
        </w:r>
      </w:hyperlink>
      <w:r w:rsidDel="00000000" w:rsidR="00000000" w:rsidRPr="00000000">
        <w:rPr>
          <w:rtl w:val="0"/>
        </w:rPr>
      </w:r>
    </w:p>
    <w:p w:rsidR="00000000" w:rsidDel="00000000" w:rsidP="00000000" w:rsidRDefault="00000000" w:rsidRPr="00000000" w14:paraId="00000025">
      <w:pPr>
        <w:numPr>
          <w:ilvl w:val="0"/>
          <w:numId w:val="2"/>
        </w:numPr>
        <w:ind w:left="720" w:hanging="360"/>
        <w:rPr>
          <w:u w:val="none"/>
        </w:rPr>
      </w:pPr>
      <w:hyperlink r:id="rId9">
        <w:r w:rsidDel="00000000" w:rsidR="00000000" w:rsidRPr="00000000">
          <w:rPr>
            <w:color w:val="1155cc"/>
            <w:u w:val="single"/>
            <w:rtl w:val="0"/>
          </w:rPr>
          <w:t xml:space="preserve">Committee Nomination Form</w:t>
        </w:r>
      </w:hyperlink>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sectPr>
      <w:footerReference r:id="rId10"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rPr>
        <w:vertAlign w:val="baselin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2C">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2D">
    <w:pPr>
      <w:jc w:val="center"/>
      <w:rPr>
        <w:sz w:val="20"/>
        <w:szCs w:val="20"/>
      </w:rPr>
    </w:pPr>
    <w:r w:rsidDel="00000000" w:rsidR="00000000" w:rsidRPr="00000000">
      <w:rPr>
        <w:sz w:val="20"/>
        <w:szCs w:val="20"/>
        <w:rtl w:val="0"/>
      </w:rPr>
      <w:t xml:space="preserve">Office: 503-728-0587 FAX: 503-728-0608</w:t>
    </w:r>
  </w:p>
  <w:p w:rsidR="00000000" w:rsidDel="00000000" w:rsidP="00000000" w:rsidRDefault="00000000" w:rsidRPr="00000000" w14:paraId="0000002E">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Heading1">
    <w:name w:val="Heading 1"/>
    <w:basedOn w:val="Normal"/>
    <w:next w:val="Heading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Times New Roman" w:hAnsi="Times New Roman"/>
      <w:b w:val="1"/>
      <w:bCs w:val="1"/>
      <w:w w:val="100"/>
      <w:kern w:val="36"/>
      <w:position w:val="-1"/>
      <w:sz w:val="48"/>
      <w:szCs w:val="48"/>
      <w:effect w:val="none"/>
      <w:vertAlign w:val="baseline"/>
      <w:cs w:val="0"/>
      <w:em w:val="none"/>
      <w:lang w:bidi="ar-SA" w:eastAsia="und" w:val="und"/>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docs.google.com/forms/d/e/1FAIpQLSfXD0nXeZjZfAFM3eofTWi-Qswpi00JrnxjOTQfIlbFgyPVdA/viewform?usp=heade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oregon.gov/ode/StudentSuccess/Documents/DEC_Section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n+clPTgzyWrsYJYOA5a28AphSA==">CgMxLjA4AHIhMWFjX1RvYUhCaDVXbkJKRjR6Z1lFZ3h1WlpYSGFTbi0x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2022-05-26T23:48:00Z</dcterms:created>
  <dc:creator>ED Serra</dc:creator>
</cp:coreProperties>
</file>