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Freedom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Elementary School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Selection of Extracurricular Programs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KRS 160.345 (2)(i)8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Extracurricular policy should be focused on improving student achievement and scheduled on days that do not conflict with other programs.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Council Chair Signature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Reviewed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reading on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