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Freedom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Elementary School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Determination of the Schedule of the School Day &amp; Week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KRS 160.345 (2)(i)4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component, by law, is subject to the beginning and ending times of the school day and school calendar year as established by the local board.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week shall be defined as 5 school days, Monday through Friday. The beginning and ending time shall be those as set by the school board making sure that the requirement of a six-hour instructional day is met.  Presently, the school day begins at 7:20 a.m. and ends at 2:</w:t>
      </w:r>
      <w:r w:rsidDel="00000000" w:rsidR="00000000" w:rsidRPr="00000000">
        <w:rPr>
          <w:sz w:val="24"/>
          <w:szCs w:val="24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principal shall develop the school schedule to meet the needs of the students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During each day, each student shall receive a minimum of 40 minutes of special class instruction for (e.g. art, music, PE,</w:t>
      </w:r>
      <w:r w:rsidDel="00000000" w:rsidR="00000000" w:rsidRPr="00000000">
        <w:rPr>
          <w:sz w:val="24"/>
          <w:szCs w:val="24"/>
          <w:rtl w:val="0"/>
        </w:rPr>
        <w:t xml:space="preserve">STEM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Library will be assigned for 20 minutes once weekly for students to check out books.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Chair Signature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Reviewed- 1-25-21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reading 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 2-22-21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