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270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0"/>
        <w:gridCol w:w="1500"/>
        <w:gridCol w:w="9705"/>
        <w:tblGridChange w:id="0">
          <w:tblGrid>
            <w:gridCol w:w="1500"/>
            <w:gridCol w:w="1500"/>
            <w:gridCol w:w="97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Budget Committee Member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Respondent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Question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3.93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jc w:val="center"/>
      <w:rPr>
        <w:b w:val="1"/>
        <w:sz w:val="28"/>
        <w:szCs w:val="28"/>
      </w:rPr>
    </w:pPr>
    <w:r w:rsidDel="00000000" w:rsidR="00000000" w:rsidRPr="00000000">
      <w:rPr>
        <w:b w:val="1"/>
        <w:sz w:val="28"/>
        <w:szCs w:val="28"/>
        <w:rtl w:val="0"/>
      </w:rPr>
      <w:t xml:space="preserve">2025-26 Budget Committee Questions for May 19, 2025 Budget Meeting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