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782B" w14:textId="1DC6D1CF" w:rsidR="00431CD3" w:rsidRDefault="00281E00" w:rsidP="00A53315">
      <w:pPr>
        <w:spacing w:after="0" w:line="240" w:lineRule="auto"/>
        <w:jc w:val="center"/>
        <w:rPr>
          <w:rFonts w:ascii="Times New Roman" w:hAnsi="Times New Roman" w:cs="Times New Roman"/>
          <w:b/>
          <w:bCs/>
          <w:sz w:val="23"/>
          <w:szCs w:val="23"/>
        </w:rPr>
      </w:pPr>
      <w:r w:rsidRPr="00A53315">
        <w:rPr>
          <w:rFonts w:ascii="Times New Roman" w:hAnsi="Times New Roman" w:cs="Times New Roman"/>
          <w:b/>
          <w:bCs/>
          <w:sz w:val="23"/>
          <w:szCs w:val="23"/>
        </w:rPr>
        <w:t>Addendum to ITB 27-00</w:t>
      </w:r>
      <w:r w:rsidR="00B116B4">
        <w:rPr>
          <w:rFonts w:ascii="Times New Roman" w:hAnsi="Times New Roman" w:cs="Times New Roman"/>
          <w:b/>
          <w:bCs/>
          <w:sz w:val="23"/>
          <w:szCs w:val="23"/>
        </w:rPr>
        <w:t>2</w:t>
      </w:r>
      <w:r w:rsidRPr="00A53315">
        <w:rPr>
          <w:rFonts w:ascii="Times New Roman" w:hAnsi="Times New Roman" w:cs="Times New Roman"/>
          <w:b/>
          <w:bCs/>
          <w:sz w:val="23"/>
          <w:szCs w:val="23"/>
        </w:rPr>
        <w:t xml:space="preserve"> </w:t>
      </w:r>
      <w:r w:rsidR="00B116B4">
        <w:rPr>
          <w:rFonts w:ascii="Times New Roman" w:hAnsi="Times New Roman" w:cs="Times New Roman"/>
          <w:b/>
          <w:bCs/>
          <w:sz w:val="23"/>
          <w:szCs w:val="23"/>
        </w:rPr>
        <w:t>Warehouse</w:t>
      </w:r>
      <w:r w:rsidRPr="00A53315">
        <w:rPr>
          <w:rFonts w:ascii="Times New Roman" w:hAnsi="Times New Roman" w:cs="Times New Roman"/>
          <w:b/>
          <w:bCs/>
          <w:sz w:val="23"/>
          <w:szCs w:val="23"/>
        </w:rPr>
        <w:t xml:space="preserve"> Bid</w:t>
      </w:r>
    </w:p>
    <w:p w14:paraId="4440ED95" w14:textId="77777777" w:rsidR="00A53315" w:rsidRPr="00A53315" w:rsidRDefault="00A53315" w:rsidP="00A53315">
      <w:pPr>
        <w:spacing w:after="0" w:line="240" w:lineRule="auto"/>
        <w:jc w:val="center"/>
        <w:rPr>
          <w:rFonts w:ascii="Times New Roman" w:hAnsi="Times New Roman" w:cs="Times New Roman"/>
          <w:b/>
          <w:bCs/>
          <w:sz w:val="23"/>
          <w:szCs w:val="23"/>
        </w:rPr>
      </w:pPr>
    </w:p>
    <w:p w14:paraId="5174F45C" w14:textId="0ECF4ED5" w:rsidR="00A53315" w:rsidRDefault="002A2F1A" w:rsidP="00A53315">
      <w:pPr>
        <w:spacing w:after="0" w:line="240" w:lineRule="auto"/>
        <w:ind w:left="-720" w:right="-720"/>
        <w:jc w:val="center"/>
        <w:rPr>
          <w:rFonts w:ascii="Times New Roman" w:hAnsi="Times New Roman" w:cs="Times New Roman"/>
          <w:b/>
          <w:bCs/>
          <w:sz w:val="23"/>
          <w:szCs w:val="23"/>
        </w:rPr>
      </w:pPr>
      <w:r w:rsidRPr="00A53315">
        <w:rPr>
          <w:rFonts w:ascii="Times New Roman" w:hAnsi="Times New Roman" w:cs="Times New Roman"/>
          <w:b/>
          <w:bCs/>
          <w:sz w:val="23"/>
          <w:szCs w:val="23"/>
        </w:rPr>
        <w:t>ADDENDUM: CLARIFICATION OF REMEDIES AND PERFORMANCE EXPECTATIONS</w:t>
      </w:r>
    </w:p>
    <w:p w14:paraId="0949C1E1" w14:textId="77777777" w:rsidR="00A53315" w:rsidRPr="00A53315" w:rsidRDefault="00A53315" w:rsidP="00A53315">
      <w:pPr>
        <w:spacing w:after="0" w:line="240" w:lineRule="auto"/>
        <w:ind w:left="-720" w:right="-720"/>
        <w:rPr>
          <w:rFonts w:ascii="Times New Roman" w:hAnsi="Times New Roman" w:cs="Times New Roman"/>
          <w:b/>
          <w:bCs/>
          <w:sz w:val="23"/>
          <w:szCs w:val="23"/>
        </w:rPr>
      </w:pPr>
    </w:p>
    <w:p w14:paraId="14FB7BDD" w14:textId="30FAA04C" w:rsidR="00B102F9" w:rsidRPr="00A53315" w:rsidRDefault="002A2F1A" w:rsidP="00B102F9">
      <w:pPr>
        <w:tabs>
          <w:tab w:val="left" w:pos="-720"/>
        </w:tabs>
        <w:spacing w:after="0" w:line="240" w:lineRule="auto"/>
        <w:ind w:left="-720" w:right="-720"/>
        <w:rPr>
          <w:rFonts w:ascii="Times New Roman" w:hAnsi="Times New Roman" w:cs="Times New Roman"/>
          <w:sz w:val="23"/>
          <w:szCs w:val="23"/>
        </w:rPr>
      </w:pPr>
      <w:r w:rsidRPr="00A53315">
        <w:rPr>
          <w:rFonts w:ascii="Times New Roman" w:hAnsi="Times New Roman" w:cs="Times New Roman"/>
          <w:sz w:val="23"/>
          <w:szCs w:val="23"/>
        </w:rPr>
        <w:t>HCSD values a collaborative and solution-oriented relationship with its Vendors and recognizes that certain circumstances affecting product availability and delivery performance may be outside of the Vendor’s control. This addendum is intended to clarify the application of remedies outlined in the Invitation to Bid (ITB) and to ensure fair and reasonable administration of performance standards.</w:t>
      </w:r>
      <w:r w:rsidR="00B102F9" w:rsidRPr="00B102F9">
        <w:rPr>
          <w:rFonts w:ascii="Times New Roman" w:hAnsi="Times New Roman" w:cs="Times New Roman"/>
          <w:sz w:val="23"/>
          <w:szCs w:val="23"/>
        </w:rPr>
        <w:t xml:space="preserve"> </w:t>
      </w:r>
      <w:r w:rsidR="00B102F9" w:rsidRPr="00A53315">
        <w:rPr>
          <w:rFonts w:ascii="Times New Roman" w:hAnsi="Times New Roman" w:cs="Times New Roman"/>
          <w:sz w:val="23"/>
          <w:szCs w:val="23"/>
        </w:rPr>
        <w:t>This addendum reflects HCSD’s commitment to fairness, transparency, and strong vendor partnerships while maintaining accountability for consistent service performance.</w:t>
      </w:r>
    </w:p>
    <w:p w14:paraId="361DD910" w14:textId="0ECB86AF" w:rsidR="002A2F1A" w:rsidRPr="00A53315" w:rsidRDefault="002A2F1A" w:rsidP="00A53315">
      <w:pPr>
        <w:spacing w:after="0" w:line="240" w:lineRule="auto"/>
        <w:ind w:left="-720" w:right="-720"/>
        <w:rPr>
          <w:rFonts w:ascii="Times New Roman" w:hAnsi="Times New Roman" w:cs="Times New Roman"/>
          <w:sz w:val="23"/>
          <w:szCs w:val="23"/>
        </w:rPr>
      </w:pPr>
    </w:p>
    <w:p w14:paraId="5B2902A4" w14:textId="70B324B1" w:rsidR="00AD714D" w:rsidRPr="005B15FE" w:rsidRDefault="00AD714D" w:rsidP="005B15FE">
      <w:pPr>
        <w:pStyle w:val="ListParagraph"/>
        <w:numPr>
          <w:ilvl w:val="0"/>
          <w:numId w:val="9"/>
        </w:numPr>
        <w:spacing w:after="0" w:line="240" w:lineRule="auto"/>
        <w:ind w:left="0" w:right="420"/>
        <w:jc w:val="both"/>
        <w:rPr>
          <w:rFonts w:ascii="Times New Roman" w:eastAsia="Calibri" w:hAnsi="Times New Roman"/>
          <w:strike/>
          <w:color w:val="FF0000"/>
          <w:sz w:val="23"/>
          <w:szCs w:val="23"/>
        </w:rPr>
      </w:pPr>
      <w:r w:rsidRPr="005B15FE">
        <w:rPr>
          <w:rFonts w:ascii="Times New Roman" w:eastAsia="Calibri" w:hAnsi="Times New Roman"/>
          <w:b/>
          <w:strike/>
          <w:color w:val="FF0000"/>
          <w:sz w:val="23"/>
          <w:szCs w:val="23"/>
          <w:u w:val="single"/>
        </w:rPr>
        <w:t>REMEDY FOR NON-PERFORMANCE/TERMINATION OF AGREEMENT, CONTRACT, OR AWARD</w:t>
      </w:r>
      <w:r w:rsidRPr="005B15FE">
        <w:rPr>
          <w:rFonts w:ascii="Times New Roman" w:eastAsia="Calibri" w:hAnsi="Times New Roman"/>
          <w:b/>
          <w:strike/>
          <w:color w:val="FF0000"/>
          <w:sz w:val="23"/>
          <w:szCs w:val="23"/>
        </w:rPr>
        <w:tab/>
      </w:r>
    </w:p>
    <w:p w14:paraId="4F5732A8" w14:textId="77777777" w:rsidR="00AD714D" w:rsidRPr="005B15FE" w:rsidRDefault="00AD714D" w:rsidP="00AD714D">
      <w:pPr>
        <w:tabs>
          <w:tab w:val="left" w:pos="1440"/>
        </w:tabs>
        <w:spacing w:after="0" w:line="240" w:lineRule="auto"/>
        <w:ind w:right="420"/>
        <w:contextualSpacing/>
        <w:jc w:val="both"/>
        <w:rPr>
          <w:rFonts w:ascii="Times New Roman" w:eastAsia="Calibri" w:hAnsi="Times New Roman"/>
          <w:strike/>
          <w:color w:val="FF0000"/>
          <w:sz w:val="23"/>
          <w:szCs w:val="23"/>
        </w:rPr>
      </w:pPr>
      <w:proofErr w:type="gramStart"/>
      <w:r w:rsidRPr="005B15FE">
        <w:rPr>
          <w:rFonts w:ascii="Times New Roman" w:eastAsia="Calibri" w:hAnsi="Times New Roman"/>
          <w:strike/>
          <w:color w:val="FF0000"/>
          <w:sz w:val="23"/>
          <w:szCs w:val="23"/>
        </w:rPr>
        <w:t>In the event that</w:t>
      </w:r>
      <w:proofErr w:type="gramEnd"/>
      <w:r w:rsidRPr="005B15FE">
        <w:rPr>
          <w:rFonts w:ascii="Times New Roman" w:eastAsia="Calibri" w:hAnsi="Times New Roman"/>
          <w:strike/>
          <w:color w:val="FF0000"/>
          <w:sz w:val="23"/>
          <w:szCs w:val="23"/>
        </w:rPr>
        <w:t xml:space="preserve"> a vendor does not perform according to the standards and conditions described in this ITB that is made a part of the contract with HCSD, HCSD may take measures to remedy the default. The optional remedies for non-performance are listed below. HCSD and Vendor agree that the </w:t>
      </w:r>
      <w:proofErr w:type="gramStart"/>
      <w:r w:rsidRPr="005B15FE">
        <w:rPr>
          <w:rFonts w:ascii="Times New Roman" w:eastAsia="Calibri" w:hAnsi="Times New Roman"/>
          <w:strike/>
          <w:color w:val="FF0000"/>
          <w:sz w:val="23"/>
          <w:szCs w:val="23"/>
        </w:rPr>
        <w:t>damages</w:t>
      </w:r>
      <w:proofErr w:type="gramEnd"/>
      <w:r w:rsidRPr="005B15FE">
        <w:rPr>
          <w:rFonts w:ascii="Times New Roman" w:eastAsia="Calibri" w:hAnsi="Times New Roman"/>
          <w:strike/>
          <w:color w:val="FF0000"/>
          <w:sz w:val="23"/>
          <w:szCs w:val="23"/>
        </w:rPr>
        <w:t xml:space="preserve"> caused by a breach of the ITB terms incorporated into a subsequent contract </w:t>
      </w:r>
      <w:proofErr w:type="gramStart"/>
      <w:r w:rsidRPr="005B15FE">
        <w:rPr>
          <w:rFonts w:ascii="Times New Roman" w:eastAsia="Calibri" w:hAnsi="Times New Roman"/>
          <w:strike/>
          <w:color w:val="FF0000"/>
          <w:sz w:val="23"/>
          <w:szCs w:val="23"/>
        </w:rPr>
        <w:t>are</w:t>
      </w:r>
      <w:proofErr w:type="gramEnd"/>
      <w:r w:rsidRPr="005B15FE">
        <w:rPr>
          <w:rFonts w:ascii="Times New Roman" w:eastAsia="Calibri" w:hAnsi="Times New Roman"/>
          <w:strike/>
          <w:color w:val="FF0000"/>
          <w:sz w:val="23"/>
          <w:szCs w:val="23"/>
        </w:rPr>
        <w:t xml:space="preserve"> difficult or impossible of estimation due to labor costs and costs to cure when Vendor does not deliver as stated in the ITB and Vendor acceptance.  </w:t>
      </w:r>
      <w:proofErr w:type="gramStart"/>
      <w:r w:rsidRPr="005B15FE">
        <w:rPr>
          <w:rFonts w:ascii="Times New Roman" w:eastAsia="Calibri" w:hAnsi="Times New Roman"/>
          <w:strike/>
          <w:color w:val="FF0000"/>
          <w:sz w:val="23"/>
          <w:szCs w:val="23"/>
        </w:rPr>
        <w:t>In order to</w:t>
      </w:r>
      <w:proofErr w:type="gramEnd"/>
      <w:r w:rsidRPr="005B15FE">
        <w:rPr>
          <w:rFonts w:ascii="Times New Roman" w:eastAsia="Calibri" w:hAnsi="Times New Roman"/>
          <w:strike/>
          <w:color w:val="FF0000"/>
          <w:sz w:val="23"/>
          <w:szCs w:val="23"/>
        </w:rPr>
        <w:t xml:space="preserve"> provide for damages and estimate a reasonable probable loss, HCSD and Vendor agree to the following damage calculation as an optional remedy for the Vendor’s breach.</w:t>
      </w:r>
    </w:p>
    <w:p w14:paraId="5F3F3224" w14:textId="77777777" w:rsidR="00AD714D" w:rsidRPr="005B15FE" w:rsidRDefault="00AD714D" w:rsidP="00AD714D">
      <w:pPr>
        <w:tabs>
          <w:tab w:val="left" w:pos="1440"/>
        </w:tabs>
        <w:spacing w:after="0" w:line="240" w:lineRule="auto"/>
        <w:ind w:right="420" w:hanging="720"/>
        <w:contextualSpacing/>
        <w:jc w:val="both"/>
        <w:rPr>
          <w:rFonts w:ascii="Times New Roman" w:eastAsia="Calibri" w:hAnsi="Times New Roman"/>
          <w:strike/>
          <w:color w:val="FF0000"/>
          <w:sz w:val="23"/>
          <w:szCs w:val="23"/>
        </w:rPr>
      </w:pPr>
    </w:p>
    <w:p w14:paraId="16738A7D" w14:textId="77777777" w:rsidR="00AD714D" w:rsidRPr="005B15FE" w:rsidRDefault="00AD714D" w:rsidP="00AD714D">
      <w:pPr>
        <w:numPr>
          <w:ilvl w:val="0"/>
          <w:numId w:val="4"/>
        </w:numPr>
        <w:tabs>
          <w:tab w:val="left" w:pos="450"/>
        </w:tabs>
        <w:spacing w:after="0" w:line="240" w:lineRule="auto"/>
        <w:ind w:left="0" w:right="420" w:firstLine="0"/>
        <w:jc w:val="both"/>
        <w:rPr>
          <w:rFonts w:ascii="Times New Roman" w:hAnsi="Times New Roman"/>
          <w:b/>
          <w:strike/>
          <w:color w:val="FF0000"/>
          <w:sz w:val="23"/>
          <w:szCs w:val="23"/>
        </w:rPr>
      </w:pPr>
      <w:r w:rsidRPr="005B15FE">
        <w:rPr>
          <w:rFonts w:ascii="Times New Roman" w:hAnsi="Times New Roman"/>
          <w:b/>
          <w:strike/>
          <w:color w:val="FF0000"/>
          <w:sz w:val="23"/>
          <w:szCs w:val="23"/>
        </w:rPr>
        <w:t xml:space="preserve">Damages - </w:t>
      </w:r>
      <w:r w:rsidRPr="005B15FE">
        <w:rPr>
          <w:rFonts w:ascii="Times New Roman" w:hAnsi="Times New Roman"/>
          <w:strike/>
          <w:color w:val="FF0000"/>
          <w:sz w:val="23"/>
          <w:szCs w:val="23"/>
        </w:rPr>
        <w:t xml:space="preserve">Compensation for damages will be issued as </w:t>
      </w:r>
      <w:proofErr w:type="gramStart"/>
      <w:r w:rsidRPr="005B15FE">
        <w:rPr>
          <w:rFonts w:ascii="Times New Roman" w:hAnsi="Times New Roman"/>
          <w:strike/>
          <w:color w:val="FF0000"/>
          <w:sz w:val="23"/>
          <w:szCs w:val="23"/>
        </w:rPr>
        <w:t>a credit</w:t>
      </w:r>
      <w:proofErr w:type="gramEnd"/>
      <w:r w:rsidRPr="005B15FE">
        <w:rPr>
          <w:rFonts w:ascii="Times New Roman" w:hAnsi="Times New Roman"/>
          <w:strike/>
          <w:color w:val="FF0000"/>
          <w:sz w:val="23"/>
          <w:szCs w:val="23"/>
        </w:rPr>
        <w:t xml:space="preserve"> within 15 days. Payment for insufficient fill rates will be provided by check within 30 days of notification.</w:t>
      </w:r>
    </w:p>
    <w:p w14:paraId="6994971A" w14:textId="77777777" w:rsidR="00AD714D" w:rsidRPr="005B15FE" w:rsidRDefault="00AD714D" w:rsidP="00AD714D">
      <w:pPr>
        <w:tabs>
          <w:tab w:val="left" w:pos="1440"/>
        </w:tabs>
        <w:spacing w:after="0" w:line="240" w:lineRule="auto"/>
        <w:ind w:right="420" w:hanging="720"/>
        <w:jc w:val="both"/>
        <w:rPr>
          <w:rFonts w:ascii="Times New Roman" w:eastAsia="Calibri" w:hAnsi="Times New Roman"/>
          <w:b/>
          <w:strike/>
          <w:color w:val="FF0000"/>
          <w:sz w:val="23"/>
          <w:szCs w:val="23"/>
        </w:rPr>
      </w:pPr>
    </w:p>
    <w:p w14:paraId="0475BB68" w14:textId="77777777" w:rsidR="00AD714D" w:rsidRPr="005B15FE" w:rsidRDefault="00AD714D" w:rsidP="00AD714D">
      <w:pPr>
        <w:tabs>
          <w:tab w:val="left" w:pos="1440"/>
        </w:tabs>
        <w:spacing w:after="0" w:line="240" w:lineRule="auto"/>
        <w:ind w:right="420"/>
        <w:jc w:val="both"/>
        <w:rPr>
          <w:rFonts w:ascii="Times New Roman" w:hAnsi="Times New Roman"/>
          <w:strike/>
          <w:color w:val="FF0000"/>
          <w:sz w:val="23"/>
          <w:szCs w:val="23"/>
        </w:rPr>
      </w:pPr>
      <w:r w:rsidRPr="005B15FE">
        <w:rPr>
          <w:rFonts w:ascii="Times New Roman" w:hAnsi="Times New Roman"/>
          <w:strike/>
          <w:color w:val="FF0000"/>
          <w:sz w:val="23"/>
          <w:szCs w:val="23"/>
        </w:rPr>
        <w:t xml:space="preserve">Late Delivery: </w:t>
      </w:r>
      <w:proofErr w:type="gramStart"/>
      <w:r w:rsidRPr="005B15FE">
        <w:rPr>
          <w:rFonts w:ascii="Times New Roman" w:hAnsi="Times New Roman"/>
          <w:strike/>
          <w:color w:val="FF0000"/>
          <w:sz w:val="23"/>
          <w:szCs w:val="23"/>
        </w:rPr>
        <w:t>In the event that</w:t>
      </w:r>
      <w:proofErr w:type="gramEnd"/>
      <w:r w:rsidRPr="005B15FE">
        <w:rPr>
          <w:rFonts w:ascii="Times New Roman" w:hAnsi="Times New Roman"/>
          <w:strike/>
          <w:color w:val="FF0000"/>
          <w:sz w:val="23"/>
          <w:szCs w:val="23"/>
        </w:rPr>
        <w:t xml:space="preserve"> a delivery does not occur at all on the scheduled delivery day, the Vendor may be assessed damages for up to 20% of the cost of the missing order. </w:t>
      </w:r>
    </w:p>
    <w:p w14:paraId="33A33B08" w14:textId="77777777" w:rsidR="00AD714D" w:rsidRPr="005B15FE" w:rsidRDefault="00AD714D" w:rsidP="00AD714D">
      <w:pPr>
        <w:tabs>
          <w:tab w:val="left" w:pos="1440"/>
        </w:tabs>
        <w:spacing w:after="0" w:line="240" w:lineRule="auto"/>
        <w:ind w:right="420" w:hanging="720"/>
        <w:contextualSpacing/>
        <w:jc w:val="both"/>
        <w:rPr>
          <w:rFonts w:ascii="Times New Roman" w:eastAsia="Calibri" w:hAnsi="Times New Roman"/>
          <w:strike/>
          <w:color w:val="FF0000"/>
          <w:sz w:val="23"/>
          <w:szCs w:val="23"/>
        </w:rPr>
      </w:pPr>
    </w:p>
    <w:p w14:paraId="181C68DE" w14:textId="77777777" w:rsidR="00AD714D" w:rsidRPr="005B15FE" w:rsidRDefault="00AD714D" w:rsidP="00AD714D">
      <w:pPr>
        <w:tabs>
          <w:tab w:val="left" w:pos="1440"/>
        </w:tabs>
        <w:spacing w:after="0" w:line="240" w:lineRule="auto"/>
        <w:ind w:right="420"/>
        <w:contextualSpacing/>
        <w:jc w:val="both"/>
        <w:rPr>
          <w:rFonts w:ascii="Times New Roman" w:eastAsia="Calibri" w:hAnsi="Times New Roman"/>
          <w:strike/>
          <w:color w:val="FF0000"/>
          <w:sz w:val="23"/>
          <w:szCs w:val="23"/>
        </w:rPr>
      </w:pPr>
      <w:r w:rsidRPr="005B15FE">
        <w:rPr>
          <w:rFonts w:ascii="Times New Roman" w:eastAsia="Calibri" w:hAnsi="Times New Roman"/>
          <w:strike/>
          <w:color w:val="FF0000"/>
          <w:sz w:val="23"/>
          <w:szCs w:val="23"/>
        </w:rPr>
        <w:t xml:space="preserve">Incorrect Shipment and Delivery: Failure to deliver all items according to the delivery requirements listed in this ITB may result in the Bidder being assessed a financial penalty for up to 20% of the cost of the items that were shipped incorrectly. </w:t>
      </w:r>
    </w:p>
    <w:p w14:paraId="14EFC0A7" w14:textId="77777777" w:rsidR="00AD714D" w:rsidRPr="005B15FE" w:rsidRDefault="00AD714D" w:rsidP="00AD714D">
      <w:pPr>
        <w:tabs>
          <w:tab w:val="left" w:pos="1440"/>
        </w:tabs>
        <w:spacing w:after="0" w:line="240" w:lineRule="auto"/>
        <w:ind w:right="420" w:hanging="720"/>
        <w:contextualSpacing/>
        <w:jc w:val="both"/>
        <w:rPr>
          <w:rFonts w:ascii="Times New Roman" w:eastAsia="Calibri" w:hAnsi="Times New Roman"/>
          <w:strike/>
          <w:color w:val="FF0000"/>
          <w:sz w:val="23"/>
          <w:szCs w:val="23"/>
        </w:rPr>
      </w:pPr>
    </w:p>
    <w:p w14:paraId="4CBE7C64" w14:textId="77777777" w:rsidR="00AD714D" w:rsidRPr="005B15FE" w:rsidRDefault="00AD714D" w:rsidP="00AD714D">
      <w:pPr>
        <w:tabs>
          <w:tab w:val="left" w:pos="1440"/>
        </w:tabs>
        <w:spacing w:after="0" w:line="240" w:lineRule="auto"/>
        <w:ind w:right="420"/>
        <w:contextualSpacing/>
        <w:jc w:val="both"/>
        <w:rPr>
          <w:rFonts w:ascii="Times New Roman" w:eastAsia="Calibri" w:hAnsi="Times New Roman"/>
          <w:strike/>
          <w:color w:val="FF0000"/>
          <w:sz w:val="23"/>
          <w:szCs w:val="23"/>
        </w:rPr>
      </w:pPr>
      <w:r w:rsidRPr="005B15FE">
        <w:rPr>
          <w:rFonts w:ascii="Times New Roman" w:eastAsia="Calibri" w:hAnsi="Times New Roman"/>
          <w:strike/>
          <w:color w:val="FF0000"/>
          <w:sz w:val="23"/>
          <w:szCs w:val="23"/>
        </w:rPr>
        <w:t>The company that is awarded this bid will be responsible for any fees assessed by SNP, regardless of other entities or services that may have been involved in the production or delivery of the product.</w:t>
      </w:r>
    </w:p>
    <w:p w14:paraId="31281DCD" w14:textId="77777777" w:rsidR="00B102F9" w:rsidRDefault="00B102F9" w:rsidP="00AD714D">
      <w:pPr>
        <w:spacing w:after="0" w:line="240" w:lineRule="auto"/>
        <w:ind w:hanging="720"/>
        <w:rPr>
          <w:rFonts w:ascii="Times New Roman" w:hAnsi="Times New Roman" w:cs="Times New Roman"/>
          <w:sz w:val="23"/>
          <w:szCs w:val="23"/>
        </w:rPr>
      </w:pPr>
    </w:p>
    <w:p w14:paraId="298D583B" w14:textId="77777777" w:rsidR="00AD714D" w:rsidRDefault="00AD714D" w:rsidP="00AD714D">
      <w:pPr>
        <w:spacing w:after="0" w:line="240" w:lineRule="auto"/>
        <w:ind w:hanging="720"/>
        <w:rPr>
          <w:rFonts w:ascii="Times New Roman" w:hAnsi="Times New Roman" w:cs="Times New Roman"/>
          <w:sz w:val="23"/>
          <w:szCs w:val="23"/>
        </w:rPr>
      </w:pPr>
    </w:p>
    <w:p w14:paraId="0299F40E" w14:textId="0F7DB128" w:rsidR="00B102F9" w:rsidRPr="005B15FE" w:rsidRDefault="00B102F9" w:rsidP="005B15FE">
      <w:pPr>
        <w:pStyle w:val="ListParagraph"/>
        <w:numPr>
          <w:ilvl w:val="0"/>
          <w:numId w:val="8"/>
        </w:numPr>
        <w:spacing w:after="0" w:line="240" w:lineRule="auto"/>
        <w:ind w:left="0" w:right="-720"/>
        <w:jc w:val="both"/>
        <w:rPr>
          <w:rFonts w:ascii="Times New Roman" w:eastAsia="Calibri" w:hAnsi="Times New Roman" w:cs="Times New Roman"/>
          <w:color w:val="000000"/>
          <w:sz w:val="23"/>
          <w:szCs w:val="23"/>
        </w:rPr>
      </w:pPr>
      <w:r w:rsidRPr="005B15FE">
        <w:rPr>
          <w:rFonts w:ascii="Times New Roman" w:eastAsia="Calibri" w:hAnsi="Times New Roman" w:cs="Times New Roman"/>
          <w:b/>
          <w:color w:val="000000"/>
          <w:sz w:val="23"/>
          <w:szCs w:val="23"/>
          <w:u w:val="single"/>
        </w:rPr>
        <w:t>REMEDY FOR NON-PERFORMANCE/TERMINATION OF AGREEMENT, CONTRACT, OR AWARD</w:t>
      </w:r>
      <w:r w:rsidRPr="005B15FE">
        <w:rPr>
          <w:rFonts w:ascii="Times New Roman" w:eastAsia="Calibri" w:hAnsi="Times New Roman" w:cs="Times New Roman"/>
          <w:b/>
          <w:color w:val="000000"/>
          <w:sz w:val="23"/>
          <w:szCs w:val="23"/>
        </w:rPr>
        <w:tab/>
      </w:r>
    </w:p>
    <w:p w14:paraId="673468D8" w14:textId="77777777" w:rsidR="00B102F9" w:rsidRPr="00A53315" w:rsidRDefault="00B102F9" w:rsidP="00B102F9">
      <w:pPr>
        <w:tabs>
          <w:tab w:val="left" w:pos="1440"/>
        </w:tabs>
        <w:spacing w:after="0" w:line="240" w:lineRule="auto"/>
        <w:ind w:right="-720"/>
        <w:contextualSpacing/>
        <w:jc w:val="both"/>
        <w:rPr>
          <w:rFonts w:ascii="Times New Roman" w:eastAsia="Calibri" w:hAnsi="Times New Roman" w:cs="Times New Roman"/>
          <w:color w:val="000000"/>
          <w:sz w:val="23"/>
          <w:szCs w:val="23"/>
        </w:rPr>
      </w:pPr>
      <w:proofErr w:type="gramStart"/>
      <w:r w:rsidRPr="00A53315">
        <w:rPr>
          <w:rFonts w:ascii="Times New Roman" w:eastAsia="Calibri" w:hAnsi="Times New Roman" w:cs="Times New Roman"/>
          <w:color w:val="000000"/>
          <w:sz w:val="23"/>
          <w:szCs w:val="23"/>
        </w:rPr>
        <w:t>In the event that</w:t>
      </w:r>
      <w:proofErr w:type="gramEnd"/>
      <w:r w:rsidRPr="00A53315">
        <w:rPr>
          <w:rFonts w:ascii="Times New Roman" w:eastAsia="Calibri" w:hAnsi="Times New Roman" w:cs="Times New Roman"/>
          <w:color w:val="000000"/>
          <w:sz w:val="23"/>
          <w:szCs w:val="23"/>
        </w:rPr>
        <w:t xml:space="preserve"> a vendor does not perform according to the standards and conditions described in this ITB that is made a part of the contract with HCSD, HCSD may take measures to remedy the default. The optional remedies for non-performance are listed below. HCSD and Vendor agree that the </w:t>
      </w:r>
      <w:proofErr w:type="gramStart"/>
      <w:r w:rsidRPr="00A53315">
        <w:rPr>
          <w:rFonts w:ascii="Times New Roman" w:eastAsia="Calibri" w:hAnsi="Times New Roman" w:cs="Times New Roman"/>
          <w:color w:val="000000"/>
          <w:sz w:val="23"/>
          <w:szCs w:val="23"/>
        </w:rPr>
        <w:t>damages</w:t>
      </w:r>
      <w:proofErr w:type="gramEnd"/>
      <w:r w:rsidRPr="00A53315">
        <w:rPr>
          <w:rFonts w:ascii="Times New Roman" w:eastAsia="Calibri" w:hAnsi="Times New Roman" w:cs="Times New Roman"/>
          <w:color w:val="000000"/>
          <w:sz w:val="23"/>
          <w:szCs w:val="23"/>
        </w:rPr>
        <w:t xml:space="preserve"> caused by a breach of the ITB terms incorporated into a subsequent contract </w:t>
      </w:r>
      <w:proofErr w:type="gramStart"/>
      <w:r w:rsidRPr="00A53315">
        <w:rPr>
          <w:rFonts w:ascii="Times New Roman" w:eastAsia="Calibri" w:hAnsi="Times New Roman" w:cs="Times New Roman"/>
          <w:color w:val="000000"/>
          <w:sz w:val="23"/>
          <w:szCs w:val="23"/>
        </w:rPr>
        <w:t>are</w:t>
      </w:r>
      <w:proofErr w:type="gramEnd"/>
      <w:r w:rsidRPr="00A53315">
        <w:rPr>
          <w:rFonts w:ascii="Times New Roman" w:eastAsia="Calibri" w:hAnsi="Times New Roman" w:cs="Times New Roman"/>
          <w:color w:val="000000"/>
          <w:sz w:val="23"/>
          <w:szCs w:val="23"/>
        </w:rPr>
        <w:t xml:space="preserve"> difficult or impossible of estimation due to labor costs and costs to cure when Vendor does not deliver as stated in the ITB and Vendor acceptance.  </w:t>
      </w:r>
      <w:proofErr w:type="gramStart"/>
      <w:r w:rsidRPr="00A53315">
        <w:rPr>
          <w:rFonts w:ascii="Times New Roman" w:eastAsia="Calibri" w:hAnsi="Times New Roman" w:cs="Times New Roman"/>
          <w:color w:val="000000"/>
          <w:sz w:val="23"/>
          <w:szCs w:val="23"/>
        </w:rPr>
        <w:t>In order to</w:t>
      </w:r>
      <w:proofErr w:type="gramEnd"/>
      <w:r w:rsidRPr="00A53315">
        <w:rPr>
          <w:rFonts w:ascii="Times New Roman" w:eastAsia="Calibri" w:hAnsi="Times New Roman" w:cs="Times New Roman"/>
          <w:color w:val="000000"/>
          <w:sz w:val="23"/>
          <w:szCs w:val="23"/>
        </w:rPr>
        <w:t xml:space="preserve"> provide for damages and estimate a reasonable probable loss, HCSD and Vendor agree to the following damage calculation as an optional remedy for the Vendor’s breach.</w:t>
      </w:r>
    </w:p>
    <w:p w14:paraId="60A7034E" w14:textId="77777777" w:rsidR="00B102F9" w:rsidRPr="00A53315" w:rsidRDefault="00B102F9" w:rsidP="00B102F9">
      <w:pPr>
        <w:tabs>
          <w:tab w:val="left" w:pos="1440"/>
        </w:tabs>
        <w:spacing w:after="0" w:line="240" w:lineRule="auto"/>
        <w:ind w:left="1080" w:right="420"/>
        <w:contextualSpacing/>
        <w:jc w:val="both"/>
        <w:rPr>
          <w:rFonts w:ascii="Times New Roman" w:eastAsia="Calibri" w:hAnsi="Times New Roman" w:cs="Times New Roman"/>
          <w:color w:val="000000"/>
          <w:sz w:val="23"/>
          <w:szCs w:val="23"/>
        </w:rPr>
      </w:pPr>
    </w:p>
    <w:p w14:paraId="481C5948" w14:textId="23445A8C" w:rsidR="00B102F9" w:rsidRPr="00EB65FE" w:rsidRDefault="00B102F9" w:rsidP="005E20FA">
      <w:pPr>
        <w:numPr>
          <w:ilvl w:val="0"/>
          <w:numId w:val="6"/>
        </w:numPr>
        <w:tabs>
          <w:tab w:val="left" w:pos="720"/>
        </w:tabs>
        <w:spacing w:after="0" w:line="240" w:lineRule="auto"/>
        <w:ind w:left="720" w:right="-720"/>
        <w:jc w:val="both"/>
        <w:rPr>
          <w:rFonts w:ascii="Times New Roman" w:hAnsi="Times New Roman" w:cs="Times New Roman"/>
          <w:sz w:val="23"/>
          <w:szCs w:val="23"/>
        </w:rPr>
      </w:pPr>
      <w:r w:rsidRPr="00EB65FE">
        <w:rPr>
          <w:rFonts w:ascii="Times New Roman" w:hAnsi="Times New Roman" w:cs="Times New Roman"/>
          <w:b/>
          <w:sz w:val="23"/>
          <w:szCs w:val="23"/>
        </w:rPr>
        <w:t xml:space="preserve">Damages </w:t>
      </w:r>
    </w:p>
    <w:p w14:paraId="69AD71B3" w14:textId="3F2F5C22" w:rsidR="00EB65FE" w:rsidRDefault="00EB65FE" w:rsidP="005E20FA">
      <w:pPr>
        <w:pStyle w:val="ListParagraph"/>
        <w:numPr>
          <w:ilvl w:val="0"/>
          <w:numId w:val="7"/>
        </w:numPr>
        <w:tabs>
          <w:tab w:val="left" w:pos="720"/>
        </w:tabs>
        <w:spacing w:after="0" w:line="240" w:lineRule="auto"/>
        <w:ind w:right="-720"/>
        <w:jc w:val="both"/>
        <w:rPr>
          <w:rFonts w:ascii="Times New Roman" w:eastAsia="Calibri" w:hAnsi="Times New Roman" w:cs="Times New Roman"/>
          <w:sz w:val="23"/>
          <w:szCs w:val="23"/>
        </w:rPr>
      </w:pPr>
      <w:r>
        <w:rPr>
          <w:rFonts w:ascii="Times New Roman" w:eastAsia="Calibri" w:hAnsi="Times New Roman" w:cs="Times New Roman"/>
          <w:b/>
          <w:bCs/>
          <w:sz w:val="23"/>
          <w:szCs w:val="23"/>
        </w:rPr>
        <w:t>Defective Products</w:t>
      </w:r>
      <w:r w:rsidR="00B102F9" w:rsidRPr="00005366">
        <w:rPr>
          <w:rFonts w:ascii="Times New Roman" w:eastAsia="Calibri" w:hAnsi="Times New Roman" w:cs="Times New Roman"/>
          <w:b/>
          <w:bCs/>
          <w:sz w:val="23"/>
          <w:szCs w:val="23"/>
        </w:rPr>
        <w:t xml:space="preserve">: </w:t>
      </w:r>
    </w:p>
    <w:p w14:paraId="50DCD844" w14:textId="3F26595B" w:rsidR="00EB65FE" w:rsidRDefault="00EB65FE" w:rsidP="00EB65FE">
      <w:pPr>
        <w:pStyle w:val="ListParagraph"/>
        <w:numPr>
          <w:ilvl w:val="1"/>
          <w:numId w:val="7"/>
        </w:numPr>
        <w:tabs>
          <w:tab w:val="left" w:pos="720"/>
        </w:tabs>
        <w:spacing w:after="0" w:line="240" w:lineRule="auto"/>
        <w:ind w:right="-720"/>
        <w:jc w:val="both"/>
        <w:rPr>
          <w:rFonts w:ascii="Times New Roman" w:eastAsia="Calibri" w:hAnsi="Times New Roman" w:cs="Times New Roman"/>
          <w:sz w:val="23"/>
          <w:szCs w:val="23"/>
        </w:rPr>
      </w:pPr>
      <w:proofErr w:type="gramStart"/>
      <w:r>
        <w:rPr>
          <w:rFonts w:ascii="Times New Roman" w:eastAsia="Calibri" w:hAnsi="Times New Roman" w:cs="Times New Roman"/>
          <w:sz w:val="23"/>
          <w:szCs w:val="23"/>
        </w:rPr>
        <w:t>Product is</w:t>
      </w:r>
      <w:proofErr w:type="gramEnd"/>
      <w:r>
        <w:rPr>
          <w:rFonts w:ascii="Times New Roman" w:eastAsia="Calibri" w:hAnsi="Times New Roman" w:cs="Times New Roman"/>
          <w:sz w:val="23"/>
          <w:szCs w:val="23"/>
        </w:rPr>
        <w:t xml:space="preserve"> picked up by </w:t>
      </w:r>
      <w:proofErr w:type="gramStart"/>
      <w:r>
        <w:rPr>
          <w:rFonts w:ascii="Times New Roman" w:eastAsia="Calibri" w:hAnsi="Times New Roman" w:cs="Times New Roman"/>
          <w:sz w:val="23"/>
          <w:szCs w:val="23"/>
        </w:rPr>
        <w:t>Vendor, or</w:t>
      </w:r>
      <w:proofErr w:type="gramEnd"/>
      <w:r>
        <w:rPr>
          <w:rFonts w:ascii="Times New Roman" w:eastAsia="Calibri" w:hAnsi="Times New Roman" w:cs="Times New Roman"/>
          <w:sz w:val="23"/>
          <w:szCs w:val="23"/>
        </w:rPr>
        <w:t xml:space="preserve"> agreed to be discarded.</w:t>
      </w:r>
    </w:p>
    <w:p w14:paraId="2DE1D7E9" w14:textId="2F0709BC" w:rsidR="00EB65FE" w:rsidRPr="00EB65FE" w:rsidRDefault="00EB65FE" w:rsidP="00EB65FE">
      <w:pPr>
        <w:pStyle w:val="ListParagraph"/>
        <w:numPr>
          <w:ilvl w:val="1"/>
          <w:numId w:val="7"/>
        </w:numPr>
        <w:tabs>
          <w:tab w:val="left" w:pos="720"/>
        </w:tabs>
        <w:spacing w:after="0" w:line="240" w:lineRule="auto"/>
        <w:ind w:right="-720"/>
        <w:jc w:val="both"/>
        <w:rPr>
          <w:rFonts w:ascii="Times New Roman" w:eastAsia="Calibri" w:hAnsi="Times New Roman" w:cs="Times New Roman"/>
          <w:sz w:val="23"/>
          <w:szCs w:val="23"/>
        </w:rPr>
      </w:pPr>
      <w:r w:rsidRPr="00A53315">
        <w:rPr>
          <w:rFonts w:ascii="Times New Roman" w:hAnsi="Times New Roman" w:cs="Times New Roman"/>
          <w:sz w:val="23"/>
          <w:szCs w:val="23"/>
        </w:rPr>
        <w:t xml:space="preserve">Compensation </w:t>
      </w:r>
      <w:r>
        <w:rPr>
          <w:rFonts w:ascii="Times New Roman" w:hAnsi="Times New Roman" w:cs="Times New Roman"/>
          <w:sz w:val="23"/>
          <w:szCs w:val="23"/>
        </w:rPr>
        <w:t xml:space="preserve">in the amount of the value of the product </w:t>
      </w:r>
      <w:r w:rsidRPr="00A53315">
        <w:rPr>
          <w:rFonts w:ascii="Times New Roman" w:hAnsi="Times New Roman" w:cs="Times New Roman"/>
          <w:sz w:val="23"/>
          <w:szCs w:val="23"/>
        </w:rPr>
        <w:t xml:space="preserve">will be issued as </w:t>
      </w:r>
      <w:proofErr w:type="gramStart"/>
      <w:r w:rsidRPr="00A53315">
        <w:rPr>
          <w:rFonts w:ascii="Times New Roman" w:hAnsi="Times New Roman" w:cs="Times New Roman"/>
          <w:sz w:val="23"/>
          <w:szCs w:val="23"/>
        </w:rPr>
        <w:t>a credit</w:t>
      </w:r>
      <w:proofErr w:type="gramEnd"/>
      <w:r w:rsidRPr="00A53315">
        <w:rPr>
          <w:rFonts w:ascii="Times New Roman" w:hAnsi="Times New Roman" w:cs="Times New Roman"/>
          <w:sz w:val="23"/>
          <w:szCs w:val="23"/>
        </w:rPr>
        <w:t xml:space="preserve"> within 15 days.</w:t>
      </w:r>
    </w:p>
    <w:p w14:paraId="603A06BD" w14:textId="77777777" w:rsidR="00EB65FE" w:rsidRPr="00EB65FE" w:rsidRDefault="00EB65FE" w:rsidP="00EB65FE">
      <w:pPr>
        <w:pStyle w:val="ListParagraph"/>
        <w:tabs>
          <w:tab w:val="left" w:pos="720"/>
        </w:tabs>
        <w:spacing w:after="0" w:line="240" w:lineRule="auto"/>
        <w:ind w:left="1800" w:right="-720"/>
        <w:jc w:val="both"/>
        <w:rPr>
          <w:rFonts w:ascii="Times New Roman" w:eastAsia="Calibri" w:hAnsi="Times New Roman" w:cs="Times New Roman"/>
          <w:sz w:val="23"/>
          <w:szCs w:val="23"/>
        </w:rPr>
      </w:pPr>
    </w:p>
    <w:p w14:paraId="0307A1F1" w14:textId="6F2C5871" w:rsidR="00AD714D" w:rsidRPr="00AD714D" w:rsidRDefault="00AD714D" w:rsidP="00AD714D">
      <w:pPr>
        <w:pStyle w:val="ListParagraph"/>
        <w:numPr>
          <w:ilvl w:val="0"/>
          <w:numId w:val="7"/>
        </w:numPr>
        <w:tabs>
          <w:tab w:val="left" w:pos="720"/>
          <w:tab w:val="left" w:pos="8910"/>
        </w:tabs>
        <w:spacing w:after="0" w:line="240" w:lineRule="auto"/>
        <w:ind w:right="-720"/>
        <w:jc w:val="both"/>
        <w:rPr>
          <w:rFonts w:ascii="Times New Roman" w:eastAsia="Calibri" w:hAnsi="Times New Roman"/>
          <w:sz w:val="23"/>
          <w:szCs w:val="23"/>
        </w:rPr>
      </w:pPr>
      <w:r w:rsidRPr="00AD714D">
        <w:rPr>
          <w:rFonts w:ascii="Times New Roman" w:hAnsi="Times New Roman"/>
          <w:b/>
          <w:bCs/>
          <w:sz w:val="23"/>
          <w:szCs w:val="23"/>
        </w:rPr>
        <w:lastRenderedPageBreak/>
        <w:t>Late</w:t>
      </w:r>
      <w:r w:rsidRPr="00AD714D">
        <w:rPr>
          <w:rFonts w:ascii="Times New Roman" w:hAnsi="Times New Roman"/>
          <w:b/>
          <w:bCs/>
          <w:sz w:val="23"/>
          <w:szCs w:val="23"/>
        </w:rPr>
        <w:t>/Incorrect</w:t>
      </w:r>
      <w:r w:rsidRPr="00AD714D">
        <w:rPr>
          <w:rFonts w:ascii="Times New Roman" w:hAnsi="Times New Roman"/>
          <w:b/>
          <w:bCs/>
          <w:sz w:val="23"/>
          <w:szCs w:val="23"/>
        </w:rPr>
        <w:t xml:space="preserve"> Delivery:</w:t>
      </w:r>
      <w:r w:rsidRPr="00AD714D">
        <w:rPr>
          <w:rFonts w:ascii="Times New Roman" w:hAnsi="Times New Roman"/>
          <w:sz w:val="23"/>
          <w:szCs w:val="23"/>
        </w:rPr>
        <w:t xml:space="preserve"> </w:t>
      </w:r>
      <w:proofErr w:type="gramStart"/>
      <w:r w:rsidRPr="00AD714D">
        <w:rPr>
          <w:rFonts w:ascii="Times New Roman" w:hAnsi="Times New Roman"/>
          <w:sz w:val="23"/>
          <w:szCs w:val="23"/>
        </w:rPr>
        <w:t>In the event that</w:t>
      </w:r>
      <w:proofErr w:type="gramEnd"/>
      <w:r w:rsidRPr="00AD714D">
        <w:rPr>
          <w:rFonts w:ascii="Times New Roman" w:hAnsi="Times New Roman"/>
          <w:sz w:val="23"/>
          <w:szCs w:val="23"/>
        </w:rPr>
        <w:t xml:space="preserve"> a delivery does not occur at all on the scheduled delivery day</w:t>
      </w:r>
      <w:r>
        <w:rPr>
          <w:rFonts w:ascii="Times New Roman" w:hAnsi="Times New Roman"/>
          <w:sz w:val="23"/>
          <w:szCs w:val="23"/>
        </w:rPr>
        <w:t>,</w:t>
      </w:r>
      <w:r w:rsidRPr="00AD714D">
        <w:rPr>
          <w:rFonts w:ascii="Times New Roman" w:hAnsi="Times New Roman"/>
          <w:sz w:val="23"/>
          <w:szCs w:val="23"/>
        </w:rPr>
        <w:t xml:space="preserve"> or items are not delivered according to the delivery requirements listed in this ITB</w:t>
      </w:r>
      <w:r w:rsidRPr="00AD714D">
        <w:rPr>
          <w:rFonts w:ascii="Times New Roman" w:hAnsi="Times New Roman"/>
          <w:sz w:val="23"/>
          <w:szCs w:val="23"/>
        </w:rPr>
        <w:t xml:space="preserve">, the Vendor may be assessed damages for up to </w:t>
      </w:r>
      <w:r>
        <w:rPr>
          <w:rFonts w:ascii="Times New Roman" w:hAnsi="Times New Roman"/>
          <w:sz w:val="23"/>
          <w:szCs w:val="23"/>
        </w:rPr>
        <w:t>1</w:t>
      </w:r>
      <w:r w:rsidRPr="00AD714D">
        <w:rPr>
          <w:rFonts w:ascii="Times New Roman" w:hAnsi="Times New Roman"/>
          <w:sz w:val="23"/>
          <w:szCs w:val="23"/>
        </w:rPr>
        <w:t>0% of the cost of the missing order</w:t>
      </w:r>
      <w:r w:rsidRPr="00AD714D">
        <w:rPr>
          <w:rFonts w:ascii="Times New Roman" w:hAnsi="Times New Roman"/>
          <w:sz w:val="23"/>
          <w:szCs w:val="23"/>
        </w:rPr>
        <w:t>/items shipped incorrectly</w:t>
      </w:r>
      <w:r w:rsidRPr="00AD714D">
        <w:rPr>
          <w:rFonts w:ascii="Times New Roman" w:hAnsi="Times New Roman"/>
          <w:sz w:val="23"/>
          <w:szCs w:val="23"/>
        </w:rPr>
        <w:t>.</w:t>
      </w:r>
      <w:r w:rsidRPr="00AD714D">
        <w:rPr>
          <w:rFonts w:ascii="Times New Roman" w:hAnsi="Times New Roman"/>
          <w:sz w:val="23"/>
          <w:szCs w:val="23"/>
        </w:rPr>
        <w:t xml:space="preserve"> </w:t>
      </w:r>
    </w:p>
    <w:p w14:paraId="56DC42F0" w14:textId="77777777" w:rsidR="00AD714D" w:rsidRPr="00AD714D" w:rsidRDefault="00AD714D" w:rsidP="00AD714D">
      <w:pPr>
        <w:pStyle w:val="ListParagraph"/>
        <w:numPr>
          <w:ilvl w:val="1"/>
          <w:numId w:val="7"/>
        </w:numPr>
        <w:tabs>
          <w:tab w:val="left" w:pos="1440"/>
          <w:tab w:val="left" w:pos="8910"/>
        </w:tabs>
        <w:spacing w:after="0" w:line="240" w:lineRule="auto"/>
        <w:ind w:right="-720"/>
        <w:jc w:val="both"/>
        <w:rPr>
          <w:rFonts w:ascii="Times New Roman" w:eastAsia="Calibri" w:hAnsi="Times New Roman"/>
          <w:sz w:val="23"/>
          <w:szCs w:val="23"/>
        </w:rPr>
      </w:pPr>
      <w:r w:rsidRPr="00AD714D">
        <w:rPr>
          <w:rFonts w:ascii="Times New Roman" w:eastAsia="Calibri" w:hAnsi="Times New Roman"/>
          <w:sz w:val="23"/>
          <w:szCs w:val="23"/>
        </w:rPr>
        <w:t>The company that is awarded this bid will be responsible for any fees assessed by SNP, regardless of other entities or services that may have been involved in the production or delivery of the product.</w:t>
      </w:r>
    </w:p>
    <w:p w14:paraId="7DEB5145" w14:textId="77777777" w:rsidR="003025D9" w:rsidRPr="003025D9" w:rsidRDefault="00EB65FE" w:rsidP="003025D9">
      <w:pPr>
        <w:pStyle w:val="ListParagraph"/>
        <w:numPr>
          <w:ilvl w:val="1"/>
          <w:numId w:val="7"/>
        </w:numPr>
        <w:tabs>
          <w:tab w:val="left" w:pos="720"/>
        </w:tabs>
        <w:spacing w:after="0" w:line="240" w:lineRule="auto"/>
        <w:ind w:right="-720"/>
        <w:jc w:val="both"/>
        <w:rPr>
          <w:rFonts w:ascii="Times New Roman" w:eastAsia="Calibri" w:hAnsi="Times New Roman" w:cs="Times New Roman"/>
          <w:b/>
          <w:bCs/>
          <w:sz w:val="23"/>
          <w:szCs w:val="23"/>
        </w:rPr>
      </w:pPr>
      <w:r w:rsidRPr="00EB65FE">
        <w:rPr>
          <w:rFonts w:ascii="Times New Roman" w:hAnsi="Times New Roman" w:cs="Times New Roman"/>
          <w:b/>
          <w:bCs/>
          <w:sz w:val="23"/>
          <w:szCs w:val="23"/>
        </w:rPr>
        <w:t>Assessment of Damages</w:t>
      </w:r>
      <w:r w:rsidR="00AD714D">
        <w:rPr>
          <w:rFonts w:ascii="Times New Roman" w:hAnsi="Times New Roman" w:cs="Times New Roman"/>
          <w:b/>
          <w:bCs/>
          <w:sz w:val="23"/>
          <w:szCs w:val="23"/>
        </w:rPr>
        <w:t xml:space="preserve"> for Late/Incorrect Deliveries</w:t>
      </w:r>
      <w:r w:rsidRPr="00EB65FE">
        <w:rPr>
          <w:rFonts w:ascii="Times New Roman" w:hAnsi="Times New Roman" w:cs="Times New Roman"/>
          <w:b/>
          <w:bCs/>
          <w:sz w:val="23"/>
          <w:szCs w:val="23"/>
        </w:rPr>
        <w:t>:</w:t>
      </w:r>
      <w:r w:rsidRPr="00EB65FE">
        <w:rPr>
          <w:rFonts w:ascii="Times New Roman" w:hAnsi="Times New Roman" w:cs="Times New Roman"/>
          <w:sz w:val="23"/>
          <w:szCs w:val="23"/>
        </w:rPr>
        <w:t xml:space="preserve"> Payment for </w:t>
      </w:r>
      <w:r>
        <w:rPr>
          <w:rFonts w:ascii="Times New Roman" w:hAnsi="Times New Roman" w:cs="Times New Roman"/>
          <w:sz w:val="23"/>
          <w:szCs w:val="23"/>
        </w:rPr>
        <w:t xml:space="preserve">these damages </w:t>
      </w:r>
      <w:r w:rsidRPr="00EB65FE">
        <w:rPr>
          <w:rFonts w:ascii="Times New Roman" w:hAnsi="Times New Roman" w:cs="Times New Roman"/>
          <w:sz w:val="23"/>
          <w:szCs w:val="23"/>
        </w:rPr>
        <w:t>will be provided by check within 30 days of notification.</w:t>
      </w:r>
    </w:p>
    <w:p w14:paraId="321CFD80" w14:textId="7A573077" w:rsidR="002A2F1A" w:rsidRPr="003025D9" w:rsidRDefault="002A2F1A" w:rsidP="003025D9">
      <w:pPr>
        <w:pStyle w:val="ListParagraph"/>
        <w:numPr>
          <w:ilvl w:val="1"/>
          <w:numId w:val="7"/>
        </w:numPr>
        <w:tabs>
          <w:tab w:val="left" w:pos="720"/>
        </w:tabs>
        <w:spacing w:after="0" w:line="240" w:lineRule="auto"/>
        <w:ind w:right="-720"/>
        <w:jc w:val="both"/>
        <w:rPr>
          <w:rFonts w:ascii="Times New Roman" w:eastAsia="Calibri" w:hAnsi="Times New Roman" w:cs="Times New Roman"/>
          <w:b/>
          <w:bCs/>
          <w:sz w:val="23"/>
          <w:szCs w:val="23"/>
        </w:rPr>
      </w:pPr>
      <w:r w:rsidRPr="003025D9">
        <w:rPr>
          <w:rFonts w:ascii="Times New Roman" w:hAnsi="Times New Roman" w:cs="Times New Roman"/>
          <w:b/>
          <w:bCs/>
          <w:sz w:val="23"/>
          <w:szCs w:val="23"/>
        </w:rPr>
        <w:t>Circumstances Beyond Vendor Control</w:t>
      </w:r>
      <w:r w:rsidR="00C472E2" w:rsidRPr="003025D9">
        <w:rPr>
          <w:rFonts w:ascii="Times New Roman" w:hAnsi="Times New Roman" w:cs="Times New Roman"/>
          <w:b/>
          <w:bCs/>
          <w:sz w:val="23"/>
          <w:szCs w:val="23"/>
        </w:rPr>
        <w:t xml:space="preserve">: </w:t>
      </w:r>
      <w:r w:rsidRPr="003025D9">
        <w:rPr>
          <w:rFonts w:ascii="Times New Roman" w:hAnsi="Times New Roman" w:cs="Times New Roman"/>
          <w:sz w:val="23"/>
          <w:szCs w:val="23"/>
        </w:rPr>
        <w:t>Financial penalties shall not be assessed for non-performance resulting from documented circumstances beyond the Vendor’s control. These may include, but are not limited to:</w:t>
      </w:r>
    </w:p>
    <w:p w14:paraId="1D35E44E" w14:textId="4CB1F063" w:rsidR="002A2F1A" w:rsidRPr="00A53315" w:rsidRDefault="00E11ADF" w:rsidP="003025D9">
      <w:pPr>
        <w:numPr>
          <w:ilvl w:val="0"/>
          <w:numId w:val="1"/>
        </w:numPr>
        <w:tabs>
          <w:tab w:val="num" w:pos="1080"/>
        </w:tabs>
        <w:spacing w:after="0" w:line="240" w:lineRule="auto"/>
        <w:ind w:left="2700" w:right="-720"/>
        <w:rPr>
          <w:rFonts w:ascii="Times New Roman" w:hAnsi="Times New Roman" w:cs="Times New Roman"/>
          <w:sz w:val="23"/>
          <w:szCs w:val="23"/>
        </w:rPr>
      </w:pPr>
      <w:r>
        <w:rPr>
          <w:rFonts w:ascii="Times New Roman" w:hAnsi="Times New Roman" w:cs="Times New Roman"/>
          <w:sz w:val="23"/>
          <w:szCs w:val="23"/>
        </w:rPr>
        <w:t>P</w:t>
      </w:r>
      <w:r w:rsidR="002A2F1A" w:rsidRPr="00A53315">
        <w:rPr>
          <w:rFonts w:ascii="Times New Roman" w:hAnsi="Times New Roman" w:cs="Times New Roman"/>
          <w:sz w:val="23"/>
          <w:szCs w:val="23"/>
        </w:rPr>
        <w:t>roduction</w:t>
      </w:r>
      <w:r>
        <w:rPr>
          <w:rFonts w:ascii="Times New Roman" w:hAnsi="Times New Roman" w:cs="Times New Roman"/>
          <w:sz w:val="23"/>
          <w:szCs w:val="23"/>
        </w:rPr>
        <w:t xml:space="preserve"> issues</w:t>
      </w:r>
      <w:r w:rsidR="00431D21">
        <w:rPr>
          <w:rFonts w:ascii="Times New Roman" w:hAnsi="Times New Roman" w:cs="Times New Roman"/>
          <w:sz w:val="23"/>
          <w:szCs w:val="23"/>
        </w:rPr>
        <w:t xml:space="preserve">, </w:t>
      </w:r>
      <w:r w:rsidR="00005366">
        <w:rPr>
          <w:rFonts w:ascii="Times New Roman" w:hAnsi="Times New Roman" w:cs="Times New Roman"/>
          <w:sz w:val="23"/>
          <w:szCs w:val="23"/>
        </w:rPr>
        <w:t>delivery</w:t>
      </w:r>
      <w:r w:rsidR="002A2F1A" w:rsidRPr="00A53315">
        <w:rPr>
          <w:rFonts w:ascii="Times New Roman" w:hAnsi="Times New Roman" w:cs="Times New Roman"/>
          <w:sz w:val="23"/>
          <w:szCs w:val="23"/>
        </w:rPr>
        <w:t xml:space="preserve"> delays or shortages </w:t>
      </w:r>
      <w:r>
        <w:rPr>
          <w:rFonts w:ascii="Times New Roman" w:hAnsi="Times New Roman" w:cs="Times New Roman"/>
          <w:sz w:val="23"/>
          <w:szCs w:val="23"/>
        </w:rPr>
        <w:t xml:space="preserve">on the part of the manufacturer </w:t>
      </w:r>
      <w:r w:rsidR="002A2F1A" w:rsidRPr="00A53315">
        <w:rPr>
          <w:rFonts w:ascii="Times New Roman" w:hAnsi="Times New Roman" w:cs="Times New Roman"/>
          <w:sz w:val="23"/>
          <w:szCs w:val="23"/>
        </w:rPr>
        <w:t xml:space="preserve">(with supporting documentation provided by the manufacturer) </w:t>
      </w:r>
    </w:p>
    <w:p w14:paraId="37843EC8" w14:textId="77777777" w:rsidR="002A2F1A" w:rsidRPr="00A53315" w:rsidRDefault="002A2F1A" w:rsidP="003025D9">
      <w:pPr>
        <w:numPr>
          <w:ilvl w:val="0"/>
          <w:numId w:val="1"/>
        </w:numPr>
        <w:tabs>
          <w:tab w:val="num" w:pos="1080"/>
        </w:tabs>
        <w:spacing w:after="0" w:line="240" w:lineRule="auto"/>
        <w:ind w:left="2700" w:right="-720"/>
        <w:rPr>
          <w:rFonts w:ascii="Times New Roman" w:hAnsi="Times New Roman" w:cs="Times New Roman"/>
          <w:sz w:val="23"/>
          <w:szCs w:val="23"/>
        </w:rPr>
      </w:pPr>
      <w:r w:rsidRPr="00A53315">
        <w:rPr>
          <w:rFonts w:ascii="Times New Roman" w:hAnsi="Times New Roman" w:cs="Times New Roman"/>
          <w:sz w:val="23"/>
          <w:szCs w:val="23"/>
        </w:rPr>
        <w:t xml:space="preserve">Acts of God, including severe weather events that prevent or delay deliveries </w:t>
      </w:r>
    </w:p>
    <w:p w14:paraId="67694C34" w14:textId="77777777" w:rsidR="002A2F1A" w:rsidRPr="00A53315" w:rsidRDefault="002A2F1A" w:rsidP="003025D9">
      <w:pPr>
        <w:numPr>
          <w:ilvl w:val="0"/>
          <w:numId w:val="1"/>
        </w:numPr>
        <w:tabs>
          <w:tab w:val="num" w:pos="1080"/>
        </w:tabs>
        <w:spacing w:after="0" w:line="240" w:lineRule="auto"/>
        <w:ind w:left="2700" w:right="-720"/>
        <w:rPr>
          <w:rFonts w:ascii="Times New Roman" w:hAnsi="Times New Roman" w:cs="Times New Roman"/>
          <w:sz w:val="23"/>
          <w:szCs w:val="23"/>
        </w:rPr>
      </w:pPr>
      <w:r w:rsidRPr="00A53315">
        <w:rPr>
          <w:rFonts w:ascii="Times New Roman" w:hAnsi="Times New Roman" w:cs="Times New Roman"/>
          <w:sz w:val="23"/>
          <w:szCs w:val="23"/>
        </w:rPr>
        <w:t xml:space="preserve">Unforeseen mechanical failures of delivery vehicles </w:t>
      </w:r>
    </w:p>
    <w:p w14:paraId="4D9D6704" w14:textId="77777777" w:rsidR="002A2F1A" w:rsidRPr="00A53315" w:rsidRDefault="002A2F1A" w:rsidP="003025D9">
      <w:pPr>
        <w:numPr>
          <w:ilvl w:val="0"/>
          <w:numId w:val="1"/>
        </w:numPr>
        <w:tabs>
          <w:tab w:val="num" w:pos="1080"/>
        </w:tabs>
        <w:spacing w:after="0" w:line="240" w:lineRule="auto"/>
        <w:ind w:left="2700" w:right="-720"/>
        <w:rPr>
          <w:rFonts w:ascii="Times New Roman" w:hAnsi="Times New Roman" w:cs="Times New Roman"/>
          <w:sz w:val="23"/>
          <w:szCs w:val="23"/>
        </w:rPr>
      </w:pPr>
      <w:r w:rsidRPr="00A53315">
        <w:rPr>
          <w:rFonts w:ascii="Times New Roman" w:hAnsi="Times New Roman" w:cs="Times New Roman"/>
          <w:sz w:val="23"/>
          <w:szCs w:val="23"/>
        </w:rPr>
        <w:t xml:space="preserve">Other verifiable and uncontrollable disruptions to the supply chain </w:t>
      </w:r>
    </w:p>
    <w:p w14:paraId="4F7BD828" w14:textId="48B031F6" w:rsidR="00EB65FE" w:rsidRPr="00EB65FE" w:rsidRDefault="002A2F1A" w:rsidP="003025D9">
      <w:pPr>
        <w:tabs>
          <w:tab w:val="num" w:pos="1080"/>
          <w:tab w:val="left" w:pos="1800"/>
        </w:tabs>
        <w:spacing w:after="0" w:line="240" w:lineRule="auto"/>
        <w:ind w:left="1800" w:right="-720"/>
        <w:rPr>
          <w:rFonts w:ascii="Times New Roman" w:hAnsi="Times New Roman" w:cs="Times New Roman"/>
          <w:sz w:val="23"/>
          <w:szCs w:val="23"/>
        </w:rPr>
      </w:pPr>
      <w:r w:rsidRPr="00A53315">
        <w:rPr>
          <w:rFonts w:ascii="Times New Roman" w:hAnsi="Times New Roman" w:cs="Times New Roman"/>
          <w:sz w:val="23"/>
          <w:szCs w:val="23"/>
        </w:rPr>
        <w:t>The Vendor is expected to communicate such events promptly and provide appropriate documentation when applicable.</w:t>
      </w:r>
    </w:p>
    <w:sectPr w:rsidR="00EB65FE" w:rsidRPr="00EB65FE" w:rsidSect="005E20FA">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B7D"/>
    <w:multiLevelType w:val="multilevel"/>
    <w:tmpl w:val="503A3F3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F642A61"/>
    <w:multiLevelType w:val="hybridMultilevel"/>
    <w:tmpl w:val="1194A0DC"/>
    <w:lvl w:ilvl="0" w:tplc="04090015">
      <w:start w:val="1"/>
      <w:numFmt w:val="upp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16A32"/>
    <w:multiLevelType w:val="multilevel"/>
    <w:tmpl w:val="C7C8DE0A"/>
    <w:lvl w:ilvl="0">
      <w:start w:val="1"/>
      <w:numFmt w:val="lowerRoman"/>
      <w:lvlText w:val="%1."/>
      <w:lvlJc w:val="righ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3B50DD"/>
    <w:multiLevelType w:val="hybridMultilevel"/>
    <w:tmpl w:val="2F0AE18E"/>
    <w:lvl w:ilvl="0" w:tplc="69CC2A40">
      <w:start w:val="4"/>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6221D"/>
    <w:multiLevelType w:val="hybridMultilevel"/>
    <w:tmpl w:val="CD68B6E0"/>
    <w:lvl w:ilvl="0" w:tplc="7C1CCA58">
      <w:start w:val="1"/>
      <w:numFmt w:val="decimal"/>
      <w:lvlText w:val="%1."/>
      <w:lvlJc w:val="left"/>
      <w:pPr>
        <w:ind w:left="1080" w:hanging="360"/>
      </w:pPr>
      <w:rPr>
        <w:b/>
        <w:bCs/>
      </w:rPr>
    </w:lvl>
    <w:lvl w:ilvl="1" w:tplc="9E30386A">
      <w:start w:val="1"/>
      <w:numFmt w:val="lowerLetter"/>
      <w:lvlText w:val="%2."/>
      <w:lvlJc w:val="left"/>
      <w:pPr>
        <w:ind w:left="1800" w:hanging="360"/>
      </w:pPr>
      <w:rPr>
        <w:b w:val="0"/>
        <w:bCs w:val="0"/>
      </w:rPr>
    </w:lvl>
    <w:lvl w:ilvl="2" w:tplc="156403EE">
      <w:start w:val="1"/>
      <w:numFmt w:val="lowerRoman"/>
      <w:lvlText w:val="%3."/>
      <w:lvlJc w:val="right"/>
      <w:pPr>
        <w:ind w:left="2520" w:hanging="180"/>
      </w:pPr>
      <w:rPr>
        <w:b w:val="0"/>
        <w:bCs w:val="0"/>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C707D1"/>
    <w:multiLevelType w:val="hybridMultilevel"/>
    <w:tmpl w:val="5ECE80D8"/>
    <w:lvl w:ilvl="0" w:tplc="552841EC">
      <w:start w:val="4"/>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821EE"/>
    <w:multiLevelType w:val="hybridMultilevel"/>
    <w:tmpl w:val="C3787400"/>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6F63D95"/>
    <w:multiLevelType w:val="hybridMultilevel"/>
    <w:tmpl w:val="C3787400"/>
    <w:lvl w:ilvl="0" w:tplc="8000208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F1EBD"/>
    <w:multiLevelType w:val="hybridMultilevel"/>
    <w:tmpl w:val="1194A0DC"/>
    <w:lvl w:ilvl="0" w:tplc="FFFFFFFF">
      <w:start w:val="1"/>
      <w:numFmt w:val="upperLetter"/>
      <w:lvlText w:val="%1."/>
      <w:lvlJc w:val="left"/>
      <w:pPr>
        <w:ind w:left="1080" w:hanging="360"/>
      </w:pPr>
      <w:rPr>
        <w:rFonts w:hint="default"/>
        <w:b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11677424">
    <w:abstractNumId w:val="2"/>
  </w:num>
  <w:num w:numId="2" w16cid:durableId="874006170">
    <w:abstractNumId w:val="0"/>
  </w:num>
  <w:num w:numId="3" w16cid:durableId="2020111323">
    <w:abstractNumId w:val="7"/>
  </w:num>
  <w:num w:numId="4" w16cid:durableId="1820271845">
    <w:abstractNumId w:val="1"/>
  </w:num>
  <w:num w:numId="5" w16cid:durableId="1800803567">
    <w:abstractNumId w:val="6"/>
  </w:num>
  <w:num w:numId="6" w16cid:durableId="1598367406">
    <w:abstractNumId w:val="8"/>
  </w:num>
  <w:num w:numId="7" w16cid:durableId="1050883466">
    <w:abstractNumId w:val="4"/>
  </w:num>
  <w:num w:numId="8" w16cid:durableId="1916473135">
    <w:abstractNumId w:val="3"/>
  </w:num>
  <w:num w:numId="9" w16cid:durableId="1455055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D3"/>
    <w:rsid w:val="00005366"/>
    <w:rsid w:val="0020080F"/>
    <w:rsid w:val="00281E00"/>
    <w:rsid w:val="002A2F1A"/>
    <w:rsid w:val="003025D9"/>
    <w:rsid w:val="003065AA"/>
    <w:rsid w:val="00392EDA"/>
    <w:rsid w:val="00431CD3"/>
    <w:rsid w:val="00431D21"/>
    <w:rsid w:val="005701F0"/>
    <w:rsid w:val="005B15FE"/>
    <w:rsid w:val="005E20FA"/>
    <w:rsid w:val="00627CA4"/>
    <w:rsid w:val="006B239C"/>
    <w:rsid w:val="00A53315"/>
    <w:rsid w:val="00AC692A"/>
    <w:rsid w:val="00AD714D"/>
    <w:rsid w:val="00B102F9"/>
    <w:rsid w:val="00B116B4"/>
    <w:rsid w:val="00BE072E"/>
    <w:rsid w:val="00C05649"/>
    <w:rsid w:val="00C472E2"/>
    <w:rsid w:val="00C929D3"/>
    <w:rsid w:val="00CB6E4E"/>
    <w:rsid w:val="00CD676F"/>
    <w:rsid w:val="00DB4545"/>
    <w:rsid w:val="00DC3B1A"/>
    <w:rsid w:val="00E11ADF"/>
    <w:rsid w:val="00EB6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CB51"/>
  <w15:chartTrackingRefBased/>
  <w15:docId w15:val="{49A4A72A-A49E-4BDF-8322-0E923628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9D3"/>
    <w:rPr>
      <w:rFonts w:eastAsiaTheme="majorEastAsia" w:cstheme="majorBidi"/>
      <w:color w:val="272727" w:themeColor="text1" w:themeTint="D8"/>
    </w:rPr>
  </w:style>
  <w:style w:type="paragraph" w:styleId="Title">
    <w:name w:val="Title"/>
    <w:basedOn w:val="Normal"/>
    <w:next w:val="Normal"/>
    <w:link w:val="TitleChar"/>
    <w:uiPriority w:val="10"/>
    <w:qFormat/>
    <w:rsid w:val="00C92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D3"/>
    <w:pPr>
      <w:spacing w:before="160"/>
      <w:jc w:val="center"/>
    </w:pPr>
    <w:rPr>
      <w:i/>
      <w:iCs/>
      <w:color w:val="404040" w:themeColor="text1" w:themeTint="BF"/>
    </w:rPr>
  </w:style>
  <w:style w:type="character" w:customStyle="1" w:styleId="QuoteChar">
    <w:name w:val="Quote Char"/>
    <w:basedOn w:val="DefaultParagraphFont"/>
    <w:link w:val="Quote"/>
    <w:uiPriority w:val="29"/>
    <w:rsid w:val="00C929D3"/>
    <w:rPr>
      <w:i/>
      <w:iCs/>
      <w:color w:val="404040" w:themeColor="text1" w:themeTint="BF"/>
    </w:rPr>
  </w:style>
  <w:style w:type="paragraph" w:styleId="ListParagraph">
    <w:name w:val="List Paragraph"/>
    <w:basedOn w:val="Normal"/>
    <w:uiPriority w:val="34"/>
    <w:qFormat/>
    <w:rsid w:val="00C929D3"/>
    <w:pPr>
      <w:ind w:left="720"/>
      <w:contextualSpacing/>
    </w:pPr>
  </w:style>
  <w:style w:type="character" w:styleId="IntenseEmphasis">
    <w:name w:val="Intense Emphasis"/>
    <w:basedOn w:val="DefaultParagraphFont"/>
    <w:uiPriority w:val="21"/>
    <w:qFormat/>
    <w:rsid w:val="00C929D3"/>
    <w:rPr>
      <w:i/>
      <w:iCs/>
      <w:color w:val="0F4761" w:themeColor="accent1" w:themeShade="BF"/>
    </w:rPr>
  </w:style>
  <w:style w:type="paragraph" w:styleId="IntenseQuote">
    <w:name w:val="Intense Quote"/>
    <w:basedOn w:val="Normal"/>
    <w:next w:val="Normal"/>
    <w:link w:val="IntenseQuoteChar"/>
    <w:uiPriority w:val="30"/>
    <w:qFormat/>
    <w:rsid w:val="00C92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9D3"/>
    <w:rPr>
      <w:i/>
      <w:iCs/>
      <w:color w:val="0F4761" w:themeColor="accent1" w:themeShade="BF"/>
    </w:rPr>
  </w:style>
  <w:style w:type="character" w:styleId="IntenseReference">
    <w:name w:val="Intense Reference"/>
    <w:basedOn w:val="DefaultParagraphFont"/>
    <w:uiPriority w:val="32"/>
    <w:qFormat/>
    <w:rsid w:val="00C929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722</Words>
  <Characters>3820</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Shana</dc:creator>
  <cp:keywords/>
  <dc:description/>
  <cp:lastModifiedBy>Wood, Shana</cp:lastModifiedBy>
  <cp:revision>5</cp:revision>
  <dcterms:created xsi:type="dcterms:W3CDTF">2026-04-09T12:58:00Z</dcterms:created>
  <dcterms:modified xsi:type="dcterms:W3CDTF">2026-04-09T13:13:00Z</dcterms:modified>
</cp:coreProperties>
</file>