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8918F3" w14:textId="38F1E28D" w:rsidR="00DA47CF" w:rsidRDefault="006E3C61" w:rsidP="00EA0EBC">
      <w:pPr>
        <w:rPr>
          <w:sz w:val="28"/>
          <w:szCs w:val="28"/>
        </w:rPr>
      </w:pPr>
      <w:r>
        <w:rPr>
          <w:sz w:val="28"/>
          <w:szCs w:val="28"/>
        </w:rPr>
        <w:t>CPE Benchmark scores for students to be deemed College Ready</w:t>
      </w:r>
    </w:p>
    <w:p w14:paraId="2C8918F4" w14:textId="77777777" w:rsidR="006E3C61" w:rsidRDefault="006E3C61" w:rsidP="006E3C61">
      <w:pPr>
        <w:jc w:val="center"/>
        <w:rPr>
          <w:sz w:val="28"/>
          <w:szCs w:val="28"/>
        </w:rPr>
      </w:pPr>
    </w:p>
    <w:p w14:paraId="2C8918F5" w14:textId="77777777" w:rsidR="006E3C61" w:rsidRDefault="006E3C61" w:rsidP="006E3C61">
      <w:pPr>
        <w:jc w:val="center"/>
        <w:rPr>
          <w:sz w:val="28"/>
          <w:szCs w:val="28"/>
        </w:rPr>
      </w:pPr>
      <w:r>
        <w:rPr>
          <w:sz w:val="28"/>
          <w:szCs w:val="28"/>
        </w:rPr>
        <w:t>ENGLISH     18</w:t>
      </w:r>
    </w:p>
    <w:p w14:paraId="2C8918F6" w14:textId="77777777" w:rsidR="006E3C61" w:rsidRDefault="006E3C61" w:rsidP="006E3C61">
      <w:pPr>
        <w:jc w:val="center"/>
        <w:rPr>
          <w:sz w:val="28"/>
          <w:szCs w:val="28"/>
        </w:rPr>
      </w:pPr>
      <w:r>
        <w:rPr>
          <w:sz w:val="28"/>
          <w:szCs w:val="28"/>
        </w:rPr>
        <w:t>MATH          19</w:t>
      </w:r>
    </w:p>
    <w:p w14:paraId="2C8918F7" w14:textId="77777777" w:rsidR="006E3C61" w:rsidRDefault="006E3C61" w:rsidP="006E3C61">
      <w:pPr>
        <w:jc w:val="center"/>
        <w:rPr>
          <w:sz w:val="28"/>
          <w:szCs w:val="28"/>
        </w:rPr>
      </w:pPr>
      <w:r>
        <w:rPr>
          <w:sz w:val="28"/>
          <w:szCs w:val="28"/>
        </w:rPr>
        <w:t xml:space="preserve">READING     20  </w:t>
      </w:r>
    </w:p>
    <w:p w14:paraId="2C8918F8" w14:textId="77777777" w:rsidR="006E3C61" w:rsidRDefault="006E3C61" w:rsidP="006E3C61">
      <w:pPr>
        <w:jc w:val="center"/>
        <w:rPr>
          <w:sz w:val="28"/>
          <w:szCs w:val="28"/>
        </w:rPr>
      </w:pPr>
    </w:p>
    <w:p w14:paraId="2C8918F9" w14:textId="77777777" w:rsidR="00061CA8" w:rsidRDefault="006E3C61" w:rsidP="006E3C61">
      <w:pPr>
        <w:jc w:val="center"/>
        <w:rPr>
          <w:sz w:val="28"/>
          <w:szCs w:val="28"/>
        </w:rPr>
      </w:pPr>
      <w:r>
        <w:rPr>
          <w:sz w:val="28"/>
          <w:szCs w:val="28"/>
        </w:rPr>
        <w:t>By scoring a</w:t>
      </w:r>
      <w:r w:rsidR="009F5E64">
        <w:rPr>
          <w:sz w:val="28"/>
          <w:szCs w:val="28"/>
        </w:rPr>
        <w:t>n</w:t>
      </w:r>
      <w:r>
        <w:rPr>
          <w:sz w:val="28"/>
          <w:szCs w:val="28"/>
        </w:rPr>
        <w:t xml:space="preserve"> 18 in English, a 19 in Math, and a 20 in reading students will be </w:t>
      </w:r>
      <w:r w:rsidR="00C10229">
        <w:rPr>
          <w:sz w:val="28"/>
          <w:szCs w:val="28"/>
        </w:rPr>
        <w:t xml:space="preserve">considered to be capable of being successful in a college credit bearing class once they attend college. </w:t>
      </w:r>
    </w:p>
    <w:p w14:paraId="2C8918FA" w14:textId="77777777" w:rsidR="00061CA8" w:rsidRDefault="00061CA8" w:rsidP="006E3C61">
      <w:pPr>
        <w:jc w:val="center"/>
        <w:rPr>
          <w:sz w:val="28"/>
          <w:szCs w:val="28"/>
        </w:rPr>
      </w:pPr>
    </w:p>
    <w:p w14:paraId="2C8918FB" w14:textId="77777777" w:rsidR="006E3C61" w:rsidRDefault="00C10229" w:rsidP="006E3C61">
      <w:pPr>
        <w:jc w:val="center"/>
        <w:rPr>
          <w:sz w:val="28"/>
          <w:szCs w:val="28"/>
        </w:rPr>
      </w:pPr>
      <w:r>
        <w:rPr>
          <w:sz w:val="28"/>
          <w:szCs w:val="28"/>
        </w:rPr>
        <w:t xml:space="preserve"> Students that do not meet K</w:t>
      </w:r>
      <w:r w:rsidR="00A441EC">
        <w:rPr>
          <w:sz w:val="28"/>
          <w:szCs w:val="28"/>
        </w:rPr>
        <w:t>Y</w:t>
      </w:r>
      <w:r>
        <w:rPr>
          <w:sz w:val="28"/>
          <w:szCs w:val="28"/>
        </w:rPr>
        <w:t xml:space="preserve">/CPE benchmarks </w:t>
      </w:r>
      <w:r w:rsidRPr="00061CA8">
        <w:rPr>
          <w:sz w:val="28"/>
          <w:szCs w:val="28"/>
          <w:u w:val="single"/>
        </w:rPr>
        <w:t>may</w:t>
      </w:r>
      <w:r>
        <w:rPr>
          <w:sz w:val="28"/>
          <w:szCs w:val="28"/>
        </w:rPr>
        <w:t xml:space="preserve"> be admitted into a college but will need to take remedial classes that do not count towards their degree completion.</w:t>
      </w:r>
    </w:p>
    <w:p w14:paraId="2C8918FC" w14:textId="77777777" w:rsidR="00061CA8" w:rsidRDefault="00061CA8" w:rsidP="006E3C61">
      <w:pPr>
        <w:jc w:val="center"/>
        <w:rPr>
          <w:sz w:val="28"/>
          <w:szCs w:val="28"/>
        </w:rPr>
      </w:pPr>
    </w:p>
    <w:p w14:paraId="2C8918FD" w14:textId="77777777" w:rsidR="00061CA8" w:rsidRPr="006E3C61" w:rsidRDefault="00061CA8" w:rsidP="006E3C61">
      <w:pPr>
        <w:jc w:val="center"/>
        <w:rPr>
          <w:sz w:val="28"/>
          <w:szCs w:val="28"/>
        </w:rPr>
      </w:pPr>
      <w:r>
        <w:rPr>
          <w:sz w:val="28"/>
          <w:szCs w:val="28"/>
        </w:rPr>
        <w:t xml:space="preserve">Students will have the opportunity to take the ACT/Compass test after remediation to gain a placement score for colleges. </w:t>
      </w:r>
    </w:p>
    <w:p w14:paraId="2C8918FE" w14:textId="77777777" w:rsidR="00A854B6" w:rsidRDefault="00A854B6" w:rsidP="00DA47CF">
      <w:pPr>
        <w:rPr>
          <w:b/>
          <w:szCs w:val="23"/>
          <w:u w:val="single"/>
        </w:rPr>
      </w:pPr>
    </w:p>
    <w:p w14:paraId="2C8918FF" w14:textId="77777777" w:rsidR="00A854B6" w:rsidRDefault="00A854B6" w:rsidP="00DA47CF">
      <w:pPr>
        <w:rPr>
          <w:b/>
          <w:szCs w:val="23"/>
          <w:u w:val="single"/>
        </w:rPr>
      </w:pPr>
    </w:p>
    <w:p w14:paraId="2C891900" w14:textId="77777777" w:rsidR="00A854B6" w:rsidRDefault="00061CA8" w:rsidP="00061CA8">
      <w:pPr>
        <w:jc w:val="center"/>
        <w:rPr>
          <w:sz w:val="28"/>
          <w:szCs w:val="28"/>
        </w:rPr>
      </w:pPr>
      <w:r w:rsidRPr="00061CA8">
        <w:rPr>
          <w:sz w:val="28"/>
          <w:szCs w:val="28"/>
        </w:rPr>
        <w:lastRenderedPageBreak/>
        <w:t>College Readiness Benchmark Scores</w:t>
      </w:r>
      <w:r w:rsidR="008F2E27">
        <w:rPr>
          <w:sz w:val="28"/>
          <w:szCs w:val="28"/>
        </w:rPr>
        <w:t>-EPAS system</w:t>
      </w:r>
    </w:p>
    <w:p w14:paraId="2C891901" w14:textId="77777777" w:rsidR="00061CA8" w:rsidRPr="00061CA8" w:rsidRDefault="00061CA8" w:rsidP="00061CA8">
      <w:pPr>
        <w:jc w:val="center"/>
        <w:rPr>
          <w:sz w:val="28"/>
          <w:szCs w:val="28"/>
        </w:rPr>
      </w:pPr>
    </w:p>
    <w:p w14:paraId="2C891902" w14:textId="77777777" w:rsidR="00061CA8" w:rsidRDefault="00061CA8" w:rsidP="00061CA8">
      <w:pPr>
        <w:rPr>
          <w:i/>
          <w:sz w:val="24"/>
        </w:rPr>
      </w:pPr>
      <w:r w:rsidRPr="00061CA8">
        <w:rPr>
          <w:i/>
          <w:sz w:val="24"/>
        </w:rPr>
        <w:t>These scores indicate that a student is on the correct trajectory to be considered College Ready</w:t>
      </w:r>
    </w:p>
    <w:p w14:paraId="2C891903" w14:textId="77777777" w:rsidR="00061CA8" w:rsidRDefault="00061CA8" w:rsidP="00061CA8">
      <w:pPr>
        <w:rPr>
          <w:i/>
          <w:sz w:val="24"/>
        </w:rPr>
      </w:pPr>
    </w:p>
    <w:tbl>
      <w:tblPr>
        <w:tblStyle w:val="TableGrid"/>
        <w:tblW w:w="0" w:type="auto"/>
        <w:tblLayout w:type="fixed"/>
        <w:tblLook w:val="04A0" w:firstRow="1" w:lastRow="0" w:firstColumn="1" w:lastColumn="0" w:noHBand="0" w:noVBand="1"/>
      </w:tblPr>
      <w:tblGrid>
        <w:gridCol w:w="1008"/>
        <w:gridCol w:w="900"/>
        <w:gridCol w:w="810"/>
        <w:gridCol w:w="990"/>
        <w:gridCol w:w="828"/>
      </w:tblGrid>
      <w:tr w:rsidR="008F2E27" w14:paraId="2C891909" w14:textId="77777777" w:rsidTr="008F2E27">
        <w:tc>
          <w:tcPr>
            <w:tcW w:w="1008" w:type="dxa"/>
          </w:tcPr>
          <w:p w14:paraId="2C891904" w14:textId="77777777" w:rsidR="00061CA8" w:rsidRPr="008F2E27" w:rsidRDefault="00061CA8" w:rsidP="00061CA8">
            <w:pPr>
              <w:rPr>
                <w:i/>
                <w:sz w:val="16"/>
                <w:szCs w:val="16"/>
              </w:rPr>
            </w:pPr>
          </w:p>
        </w:tc>
        <w:tc>
          <w:tcPr>
            <w:tcW w:w="900" w:type="dxa"/>
          </w:tcPr>
          <w:p w14:paraId="2C891905" w14:textId="77777777" w:rsidR="00061CA8" w:rsidRPr="008F2E27" w:rsidRDefault="008F2E27" w:rsidP="008F2E27">
            <w:pPr>
              <w:rPr>
                <w:i/>
                <w:sz w:val="16"/>
                <w:szCs w:val="16"/>
              </w:rPr>
            </w:pPr>
            <w:r>
              <w:rPr>
                <w:i/>
                <w:sz w:val="16"/>
                <w:szCs w:val="16"/>
              </w:rPr>
              <w:t>English</w:t>
            </w:r>
          </w:p>
        </w:tc>
        <w:tc>
          <w:tcPr>
            <w:tcW w:w="810" w:type="dxa"/>
          </w:tcPr>
          <w:p w14:paraId="2C891906" w14:textId="77777777" w:rsidR="00061CA8" w:rsidRPr="008F2E27" w:rsidRDefault="008F2E27" w:rsidP="008F2E27">
            <w:pPr>
              <w:rPr>
                <w:i/>
                <w:sz w:val="16"/>
                <w:szCs w:val="16"/>
              </w:rPr>
            </w:pPr>
            <w:r>
              <w:rPr>
                <w:i/>
                <w:sz w:val="16"/>
                <w:szCs w:val="16"/>
              </w:rPr>
              <w:t>Math</w:t>
            </w:r>
          </w:p>
        </w:tc>
        <w:tc>
          <w:tcPr>
            <w:tcW w:w="990" w:type="dxa"/>
          </w:tcPr>
          <w:p w14:paraId="2C891907" w14:textId="77777777" w:rsidR="00061CA8" w:rsidRPr="008F2E27" w:rsidRDefault="008F2E27" w:rsidP="00061CA8">
            <w:pPr>
              <w:rPr>
                <w:i/>
                <w:sz w:val="16"/>
                <w:szCs w:val="16"/>
              </w:rPr>
            </w:pPr>
            <w:r>
              <w:rPr>
                <w:i/>
                <w:sz w:val="16"/>
                <w:szCs w:val="16"/>
              </w:rPr>
              <w:t>Reading</w:t>
            </w:r>
          </w:p>
        </w:tc>
        <w:tc>
          <w:tcPr>
            <w:tcW w:w="828" w:type="dxa"/>
          </w:tcPr>
          <w:p w14:paraId="2C891908" w14:textId="77777777" w:rsidR="00061CA8" w:rsidRPr="008F2E27" w:rsidRDefault="008F2E27" w:rsidP="00061CA8">
            <w:pPr>
              <w:rPr>
                <w:i/>
                <w:sz w:val="16"/>
                <w:szCs w:val="16"/>
              </w:rPr>
            </w:pPr>
            <w:r>
              <w:rPr>
                <w:i/>
                <w:sz w:val="16"/>
                <w:szCs w:val="16"/>
              </w:rPr>
              <w:t>Science</w:t>
            </w:r>
          </w:p>
        </w:tc>
      </w:tr>
      <w:tr w:rsidR="008F2E27" w14:paraId="2C89190F" w14:textId="77777777" w:rsidTr="008F2E27">
        <w:tc>
          <w:tcPr>
            <w:tcW w:w="1008" w:type="dxa"/>
          </w:tcPr>
          <w:p w14:paraId="2C89190A" w14:textId="77777777" w:rsidR="00061CA8" w:rsidRPr="008F2E27" w:rsidRDefault="00061CA8" w:rsidP="00061CA8">
            <w:pPr>
              <w:rPr>
                <w:i/>
                <w:sz w:val="16"/>
                <w:szCs w:val="16"/>
              </w:rPr>
            </w:pPr>
            <w:r w:rsidRPr="008F2E27">
              <w:rPr>
                <w:i/>
                <w:sz w:val="16"/>
                <w:szCs w:val="16"/>
              </w:rPr>
              <w:t>EXPLORE</w:t>
            </w:r>
          </w:p>
        </w:tc>
        <w:tc>
          <w:tcPr>
            <w:tcW w:w="900" w:type="dxa"/>
          </w:tcPr>
          <w:p w14:paraId="2C89190B" w14:textId="77777777" w:rsidR="00061CA8" w:rsidRPr="008F2E27" w:rsidRDefault="008F2E27" w:rsidP="008F2E27">
            <w:pPr>
              <w:jc w:val="center"/>
              <w:rPr>
                <w:sz w:val="24"/>
              </w:rPr>
            </w:pPr>
            <w:r>
              <w:rPr>
                <w:sz w:val="24"/>
              </w:rPr>
              <w:t>13</w:t>
            </w:r>
          </w:p>
        </w:tc>
        <w:tc>
          <w:tcPr>
            <w:tcW w:w="810" w:type="dxa"/>
          </w:tcPr>
          <w:p w14:paraId="2C89190C" w14:textId="77777777" w:rsidR="00061CA8" w:rsidRPr="008F2E27" w:rsidRDefault="008F2E27" w:rsidP="008F2E27">
            <w:pPr>
              <w:jc w:val="center"/>
              <w:rPr>
                <w:sz w:val="24"/>
              </w:rPr>
            </w:pPr>
            <w:r>
              <w:rPr>
                <w:sz w:val="24"/>
              </w:rPr>
              <w:t>17</w:t>
            </w:r>
          </w:p>
        </w:tc>
        <w:tc>
          <w:tcPr>
            <w:tcW w:w="990" w:type="dxa"/>
          </w:tcPr>
          <w:p w14:paraId="2C89190D" w14:textId="77777777" w:rsidR="00061CA8" w:rsidRPr="008F2E27" w:rsidRDefault="008F2E27" w:rsidP="008F2E27">
            <w:pPr>
              <w:jc w:val="center"/>
              <w:rPr>
                <w:sz w:val="24"/>
              </w:rPr>
            </w:pPr>
            <w:r>
              <w:rPr>
                <w:sz w:val="24"/>
              </w:rPr>
              <w:t>15</w:t>
            </w:r>
          </w:p>
        </w:tc>
        <w:tc>
          <w:tcPr>
            <w:tcW w:w="828" w:type="dxa"/>
          </w:tcPr>
          <w:p w14:paraId="2C89190E" w14:textId="77777777" w:rsidR="00061CA8" w:rsidRPr="008F2E27" w:rsidRDefault="008F2E27" w:rsidP="008F2E27">
            <w:pPr>
              <w:jc w:val="center"/>
              <w:rPr>
                <w:sz w:val="24"/>
              </w:rPr>
            </w:pPr>
            <w:r>
              <w:rPr>
                <w:sz w:val="24"/>
              </w:rPr>
              <w:t>20</w:t>
            </w:r>
          </w:p>
        </w:tc>
      </w:tr>
      <w:tr w:rsidR="008F2E27" w14:paraId="2C891915" w14:textId="77777777" w:rsidTr="008F2E27">
        <w:tc>
          <w:tcPr>
            <w:tcW w:w="1008" w:type="dxa"/>
          </w:tcPr>
          <w:p w14:paraId="2C891910" w14:textId="77777777" w:rsidR="00061CA8" w:rsidRPr="008F2E27" w:rsidRDefault="00061CA8" w:rsidP="00061CA8">
            <w:pPr>
              <w:rPr>
                <w:i/>
                <w:sz w:val="16"/>
                <w:szCs w:val="16"/>
              </w:rPr>
            </w:pPr>
            <w:r w:rsidRPr="008F2E27">
              <w:rPr>
                <w:i/>
                <w:sz w:val="16"/>
                <w:szCs w:val="16"/>
              </w:rPr>
              <w:t>PLAN</w:t>
            </w:r>
          </w:p>
        </w:tc>
        <w:tc>
          <w:tcPr>
            <w:tcW w:w="900" w:type="dxa"/>
          </w:tcPr>
          <w:p w14:paraId="2C891911" w14:textId="77777777" w:rsidR="00061CA8" w:rsidRPr="008F2E27" w:rsidRDefault="008F2E27" w:rsidP="008F2E27">
            <w:pPr>
              <w:jc w:val="center"/>
              <w:rPr>
                <w:sz w:val="24"/>
              </w:rPr>
            </w:pPr>
            <w:r>
              <w:rPr>
                <w:sz w:val="24"/>
              </w:rPr>
              <w:t>15</w:t>
            </w:r>
          </w:p>
        </w:tc>
        <w:tc>
          <w:tcPr>
            <w:tcW w:w="810" w:type="dxa"/>
          </w:tcPr>
          <w:p w14:paraId="2C891912" w14:textId="77777777" w:rsidR="00061CA8" w:rsidRPr="008F2E27" w:rsidRDefault="008F2E27" w:rsidP="008F2E27">
            <w:pPr>
              <w:jc w:val="center"/>
              <w:rPr>
                <w:sz w:val="24"/>
              </w:rPr>
            </w:pPr>
            <w:r>
              <w:rPr>
                <w:sz w:val="24"/>
              </w:rPr>
              <w:t>19</w:t>
            </w:r>
          </w:p>
        </w:tc>
        <w:tc>
          <w:tcPr>
            <w:tcW w:w="990" w:type="dxa"/>
          </w:tcPr>
          <w:p w14:paraId="2C891913" w14:textId="77777777" w:rsidR="00061CA8" w:rsidRPr="008F2E27" w:rsidRDefault="008F2E27" w:rsidP="008F2E27">
            <w:pPr>
              <w:jc w:val="center"/>
              <w:rPr>
                <w:sz w:val="24"/>
              </w:rPr>
            </w:pPr>
            <w:r>
              <w:rPr>
                <w:sz w:val="24"/>
              </w:rPr>
              <w:t>17</w:t>
            </w:r>
          </w:p>
        </w:tc>
        <w:tc>
          <w:tcPr>
            <w:tcW w:w="828" w:type="dxa"/>
          </w:tcPr>
          <w:p w14:paraId="2C891914" w14:textId="77777777" w:rsidR="00061CA8" w:rsidRPr="008F2E27" w:rsidRDefault="008F2E27" w:rsidP="008F2E27">
            <w:pPr>
              <w:jc w:val="center"/>
              <w:rPr>
                <w:sz w:val="24"/>
              </w:rPr>
            </w:pPr>
            <w:r>
              <w:rPr>
                <w:sz w:val="24"/>
              </w:rPr>
              <w:t>21</w:t>
            </w:r>
          </w:p>
        </w:tc>
      </w:tr>
      <w:tr w:rsidR="008F2E27" w14:paraId="2C89191B" w14:textId="77777777" w:rsidTr="008F2E27">
        <w:tc>
          <w:tcPr>
            <w:tcW w:w="1008" w:type="dxa"/>
          </w:tcPr>
          <w:p w14:paraId="2C891916" w14:textId="77777777" w:rsidR="00061CA8" w:rsidRPr="008F2E27" w:rsidRDefault="00061CA8" w:rsidP="00061CA8">
            <w:pPr>
              <w:rPr>
                <w:i/>
                <w:sz w:val="16"/>
                <w:szCs w:val="16"/>
              </w:rPr>
            </w:pPr>
            <w:r w:rsidRPr="008F2E27">
              <w:rPr>
                <w:i/>
                <w:sz w:val="16"/>
                <w:szCs w:val="16"/>
              </w:rPr>
              <w:t>ACT</w:t>
            </w:r>
          </w:p>
        </w:tc>
        <w:tc>
          <w:tcPr>
            <w:tcW w:w="900" w:type="dxa"/>
          </w:tcPr>
          <w:p w14:paraId="2C891917" w14:textId="77777777" w:rsidR="00061CA8" w:rsidRPr="008F2E27" w:rsidRDefault="008F2E27" w:rsidP="008F2E27">
            <w:pPr>
              <w:jc w:val="center"/>
              <w:rPr>
                <w:sz w:val="24"/>
              </w:rPr>
            </w:pPr>
            <w:r>
              <w:rPr>
                <w:sz w:val="24"/>
              </w:rPr>
              <w:t>18</w:t>
            </w:r>
          </w:p>
        </w:tc>
        <w:tc>
          <w:tcPr>
            <w:tcW w:w="810" w:type="dxa"/>
          </w:tcPr>
          <w:p w14:paraId="2C891918" w14:textId="77777777" w:rsidR="00061CA8" w:rsidRPr="008F2E27" w:rsidRDefault="008F2E27" w:rsidP="008F2E27">
            <w:pPr>
              <w:jc w:val="center"/>
              <w:rPr>
                <w:sz w:val="24"/>
              </w:rPr>
            </w:pPr>
            <w:r>
              <w:rPr>
                <w:sz w:val="24"/>
              </w:rPr>
              <w:t>22</w:t>
            </w:r>
          </w:p>
        </w:tc>
        <w:tc>
          <w:tcPr>
            <w:tcW w:w="990" w:type="dxa"/>
          </w:tcPr>
          <w:p w14:paraId="2C891919" w14:textId="77777777" w:rsidR="00061CA8" w:rsidRPr="008F2E27" w:rsidRDefault="008F2E27" w:rsidP="008F2E27">
            <w:pPr>
              <w:jc w:val="center"/>
              <w:rPr>
                <w:sz w:val="24"/>
              </w:rPr>
            </w:pPr>
            <w:r>
              <w:rPr>
                <w:sz w:val="24"/>
              </w:rPr>
              <w:t>21</w:t>
            </w:r>
          </w:p>
        </w:tc>
        <w:tc>
          <w:tcPr>
            <w:tcW w:w="828" w:type="dxa"/>
          </w:tcPr>
          <w:p w14:paraId="2C89191A" w14:textId="77777777" w:rsidR="00061CA8" w:rsidRPr="008F2E27" w:rsidRDefault="008F2E27" w:rsidP="008F2E27">
            <w:pPr>
              <w:jc w:val="center"/>
              <w:rPr>
                <w:sz w:val="24"/>
              </w:rPr>
            </w:pPr>
            <w:r>
              <w:rPr>
                <w:sz w:val="24"/>
              </w:rPr>
              <w:t>24</w:t>
            </w:r>
          </w:p>
        </w:tc>
      </w:tr>
      <w:tr w:rsidR="008F2E27" w:rsidRPr="008F2E27" w14:paraId="2C891921" w14:textId="77777777" w:rsidTr="00EF62EB">
        <w:tc>
          <w:tcPr>
            <w:tcW w:w="1008" w:type="dxa"/>
          </w:tcPr>
          <w:p w14:paraId="2C89191C" w14:textId="77777777" w:rsidR="008F2E27" w:rsidRPr="008F2E27" w:rsidRDefault="008F2E27" w:rsidP="00EF62EB">
            <w:pPr>
              <w:rPr>
                <w:i/>
                <w:sz w:val="16"/>
                <w:szCs w:val="16"/>
              </w:rPr>
            </w:pPr>
            <w:r>
              <w:rPr>
                <w:i/>
                <w:sz w:val="16"/>
                <w:szCs w:val="16"/>
              </w:rPr>
              <w:t xml:space="preserve">KY CPE </w:t>
            </w:r>
            <w:r w:rsidRPr="008F2E27">
              <w:rPr>
                <w:i/>
                <w:sz w:val="14"/>
                <w:szCs w:val="14"/>
              </w:rPr>
              <w:t>benchmark</w:t>
            </w:r>
          </w:p>
        </w:tc>
        <w:tc>
          <w:tcPr>
            <w:tcW w:w="900" w:type="dxa"/>
          </w:tcPr>
          <w:p w14:paraId="2C89191D" w14:textId="77777777" w:rsidR="008F2E27" w:rsidRPr="008F2E27" w:rsidRDefault="008F2E27" w:rsidP="00EF62EB">
            <w:pPr>
              <w:jc w:val="center"/>
              <w:rPr>
                <w:sz w:val="24"/>
                <w:highlight w:val="yellow"/>
              </w:rPr>
            </w:pPr>
            <w:r w:rsidRPr="008F2E27">
              <w:rPr>
                <w:sz w:val="24"/>
                <w:highlight w:val="yellow"/>
              </w:rPr>
              <w:t>18</w:t>
            </w:r>
          </w:p>
        </w:tc>
        <w:tc>
          <w:tcPr>
            <w:tcW w:w="810" w:type="dxa"/>
          </w:tcPr>
          <w:p w14:paraId="2C89191E" w14:textId="77777777" w:rsidR="008F2E27" w:rsidRPr="008F2E27" w:rsidRDefault="008F2E27" w:rsidP="00EF62EB">
            <w:pPr>
              <w:jc w:val="center"/>
              <w:rPr>
                <w:sz w:val="24"/>
                <w:highlight w:val="yellow"/>
              </w:rPr>
            </w:pPr>
            <w:r w:rsidRPr="008F2E27">
              <w:rPr>
                <w:sz w:val="24"/>
                <w:highlight w:val="yellow"/>
              </w:rPr>
              <w:t>19</w:t>
            </w:r>
          </w:p>
        </w:tc>
        <w:tc>
          <w:tcPr>
            <w:tcW w:w="990" w:type="dxa"/>
          </w:tcPr>
          <w:p w14:paraId="2C89191F" w14:textId="77777777" w:rsidR="008F2E27" w:rsidRPr="008F2E27" w:rsidRDefault="008F2E27" w:rsidP="00EF62EB">
            <w:pPr>
              <w:jc w:val="center"/>
              <w:rPr>
                <w:sz w:val="24"/>
                <w:highlight w:val="yellow"/>
              </w:rPr>
            </w:pPr>
            <w:r w:rsidRPr="008F2E27">
              <w:rPr>
                <w:sz w:val="24"/>
                <w:highlight w:val="yellow"/>
              </w:rPr>
              <w:t>20</w:t>
            </w:r>
          </w:p>
        </w:tc>
        <w:tc>
          <w:tcPr>
            <w:tcW w:w="828" w:type="dxa"/>
          </w:tcPr>
          <w:p w14:paraId="2C891920" w14:textId="77777777" w:rsidR="008F2E27" w:rsidRPr="008F2E27" w:rsidRDefault="008F2E27" w:rsidP="00EF62EB">
            <w:pPr>
              <w:jc w:val="center"/>
              <w:rPr>
                <w:sz w:val="24"/>
              </w:rPr>
            </w:pPr>
            <w:r>
              <w:rPr>
                <w:sz w:val="24"/>
              </w:rPr>
              <w:t>none</w:t>
            </w:r>
          </w:p>
        </w:tc>
      </w:tr>
    </w:tbl>
    <w:p w14:paraId="2C891922" w14:textId="77777777" w:rsidR="00061CA8" w:rsidRDefault="00061CA8" w:rsidP="00061CA8">
      <w:pPr>
        <w:rPr>
          <w:i/>
          <w:sz w:val="24"/>
        </w:rPr>
      </w:pPr>
    </w:p>
    <w:p w14:paraId="2C891923" w14:textId="77777777" w:rsidR="00061CA8" w:rsidRPr="00061CA8" w:rsidRDefault="00061CA8" w:rsidP="00061CA8">
      <w:pPr>
        <w:rPr>
          <w:i/>
          <w:sz w:val="24"/>
        </w:rPr>
      </w:pPr>
    </w:p>
    <w:p w14:paraId="2C891924" w14:textId="77777777" w:rsidR="008F2E27" w:rsidRDefault="008F2E27" w:rsidP="00061CA8">
      <w:pPr>
        <w:rPr>
          <w:sz w:val="28"/>
          <w:szCs w:val="28"/>
        </w:rPr>
      </w:pPr>
      <w:proofErr w:type="gramStart"/>
      <w:r>
        <w:rPr>
          <w:sz w:val="28"/>
          <w:szCs w:val="28"/>
        </w:rPr>
        <w:t>Questions?</w:t>
      </w:r>
      <w:proofErr w:type="gramEnd"/>
      <w:r>
        <w:rPr>
          <w:sz w:val="28"/>
          <w:szCs w:val="28"/>
        </w:rPr>
        <w:t xml:space="preserve">  Please contact your school’s counselor for additional information.</w:t>
      </w:r>
    </w:p>
    <w:p w14:paraId="2C891925" w14:textId="77777777" w:rsidR="008F2E27" w:rsidRDefault="008F2E27" w:rsidP="00061CA8">
      <w:pPr>
        <w:rPr>
          <w:sz w:val="28"/>
          <w:szCs w:val="28"/>
        </w:rPr>
      </w:pPr>
    </w:p>
    <w:p w14:paraId="2C891926" w14:textId="77777777" w:rsidR="008F2E27" w:rsidRDefault="008F2E27" w:rsidP="00061CA8">
      <w:pPr>
        <w:rPr>
          <w:sz w:val="28"/>
          <w:szCs w:val="28"/>
        </w:rPr>
      </w:pPr>
      <w:r>
        <w:rPr>
          <w:sz w:val="28"/>
          <w:szCs w:val="28"/>
        </w:rPr>
        <w:t>Resources:</w:t>
      </w:r>
    </w:p>
    <w:p w14:paraId="2C891927" w14:textId="77777777" w:rsidR="008F2E27" w:rsidRPr="009F7EDD" w:rsidRDefault="00C5523B" w:rsidP="00061CA8">
      <w:pPr>
        <w:rPr>
          <w:sz w:val="24"/>
        </w:rPr>
      </w:pPr>
      <w:hyperlink r:id="rId8" w:history="1">
        <w:r w:rsidR="008F2E27" w:rsidRPr="009F7EDD">
          <w:rPr>
            <w:rStyle w:val="Hyperlink"/>
            <w:sz w:val="24"/>
          </w:rPr>
          <w:t>http://www.actstudent.org/index.html</w:t>
        </w:r>
      </w:hyperlink>
    </w:p>
    <w:p w14:paraId="2C891928" w14:textId="77777777" w:rsidR="008F2E27" w:rsidRDefault="008F2E27" w:rsidP="00061CA8">
      <w:pPr>
        <w:rPr>
          <w:sz w:val="28"/>
          <w:szCs w:val="28"/>
        </w:rPr>
      </w:pPr>
    </w:p>
    <w:p w14:paraId="2C891929" w14:textId="77777777" w:rsidR="008F2E27" w:rsidRPr="009F7EDD" w:rsidRDefault="00C5523B" w:rsidP="00061CA8">
      <w:pPr>
        <w:rPr>
          <w:sz w:val="24"/>
        </w:rPr>
      </w:pPr>
      <w:hyperlink r:id="rId9" w:history="1">
        <w:r w:rsidR="009F7EDD" w:rsidRPr="009F7EDD">
          <w:rPr>
            <w:rStyle w:val="Hyperlink"/>
            <w:sz w:val="24"/>
          </w:rPr>
          <w:t>http://www.actstudent.org/explore/</w:t>
        </w:r>
      </w:hyperlink>
    </w:p>
    <w:p w14:paraId="2C89192A" w14:textId="77777777" w:rsidR="009F7EDD" w:rsidRDefault="009F7EDD" w:rsidP="00061CA8">
      <w:pPr>
        <w:rPr>
          <w:sz w:val="28"/>
          <w:szCs w:val="28"/>
        </w:rPr>
      </w:pPr>
    </w:p>
    <w:p w14:paraId="2C89192B" w14:textId="77777777" w:rsidR="009F7EDD" w:rsidRPr="009F7EDD" w:rsidRDefault="00C5523B" w:rsidP="00061CA8">
      <w:pPr>
        <w:rPr>
          <w:sz w:val="24"/>
        </w:rPr>
      </w:pPr>
      <w:hyperlink r:id="rId10" w:history="1">
        <w:r w:rsidR="009F7EDD" w:rsidRPr="009F7EDD">
          <w:rPr>
            <w:rStyle w:val="Hyperlink"/>
            <w:sz w:val="24"/>
          </w:rPr>
          <w:t>http://www.actstudent.org/plan/</w:t>
        </w:r>
      </w:hyperlink>
    </w:p>
    <w:p w14:paraId="2C89192C" w14:textId="77777777" w:rsidR="009F7EDD" w:rsidRPr="008F2E27" w:rsidRDefault="009F7EDD" w:rsidP="00061CA8">
      <w:pPr>
        <w:rPr>
          <w:sz w:val="28"/>
          <w:szCs w:val="28"/>
        </w:rPr>
      </w:pPr>
    </w:p>
    <w:p w14:paraId="2C89192D" w14:textId="77777777" w:rsidR="008F2E27" w:rsidRDefault="008F2E27" w:rsidP="00061CA8">
      <w:pPr>
        <w:rPr>
          <w:i/>
          <w:sz w:val="40"/>
          <w:szCs w:val="40"/>
        </w:rPr>
      </w:pPr>
    </w:p>
    <w:p w14:paraId="2C89192E" w14:textId="77777777" w:rsidR="009F7EDD" w:rsidRDefault="009F7EDD" w:rsidP="00061CA8">
      <w:pPr>
        <w:rPr>
          <w:i/>
          <w:sz w:val="40"/>
          <w:szCs w:val="40"/>
        </w:rPr>
      </w:pPr>
    </w:p>
    <w:p w14:paraId="2C89192F" w14:textId="77777777" w:rsidR="009F7EDD" w:rsidRDefault="009F7EDD" w:rsidP="00061CA8">
      <w:pPr>
        <w:rPr>
          <w:i/>
          <w:sz w:val="40"/>
          <w:szCs w:val="40"/>
        </w:rPr>
      </w:pPr>
    </w:p>
    <w:p w14:paraId="2C891930" w14:textId="77777777" w:rsidR="009F7EDD" w:rsidRDefault="009F7EDD" w:rsidP="00061CA8">
      <w:pPr>
        <w:rPr>
          <w:i/>
          <w:sz w:val="40"/>
          <w:szCs w:val="40"/>
        </w:rPr>
      </w:pPr>
    </w:p>
    <w:p w14:paraId="2C891933" w14:textId="6022F9B6" w:rsidR="009F7EDD" w:rsidRDefault="007D112C" w:rsidP="00196E8C">
      <w:pPr>
        <w:jc w:val="center"/>
        <w:rPr>
          <w:i/>
          <w:sz w:val="40"/>
          <w:szCs w:val="40"/>
        </w:rPr>
      </w:pPr>
      <w:r>
        <w:rPr>
          <w:i/>
          <w:noProof/>
          <w:sz w:val="40"/>
          <w:szCs w:val="40"/>
        </w:rPr>
        <w:lastRenderedPageBreak/>
        <w:drawing>
          <wp:inline distT="0" distB="0" distL="0" distR="0" wp14:anchorId="38D2A0B9" wp14:editId="2256005E">
            <wp:extent cx="2047875" cy="1028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ry County Schools NEW LOGO adopted May 17 2012 (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54400" cy="1031978"/>
                    </a:xfrm>
                    <a:prstGeom prst="rect">
                      <a:avLst/>
                    </a:prstGeom>
                  </pic:spPr>
                </pic:pic>
              </a:graphicData>
            </a:graphic>
          </wp:inline>
        </w:drawing>
      </w:r>
    </w:p>
    <w:p w14:paraId="39065451" w14:textId="42DD786C" w:rsidR="00C25BB7" w:rsidRPr="00C25BB7" w:rsidRDefault="00C25BB7" w:rsidP="00196E8C">
      <w:pPr>
        <w:jc w:val="center"/>
        <w:rPr>
          <w:color w:val="FF0000"/>
          <w:sz w:val="40"/>
          <w:szCs w:val="40"/>
          <w:u w:val="single"/>
        </w:rPr>
      </w:pPr>
      <w:r w:rsidRPr="00C25BB7">
        <w:rPr>
          <w:color w:val="FF0000"/>
          <w:sz w:val="40"/>
          <w:szCs w:val="40"/>
          <w:u w:val="single"/>
        </w:rPr>
        <w:t>2013 - 2014</w:t>
      </w:r>
    </w:p>
    <w:p w14:paraId="2C891935" w14:textId="77777777" w:rsidR="00196E8C" w:rsidRDefault="009F5E64" w:rsidP="00196E8C">
      <w:pPr>
        <w:jc w:val="center"/>
        <w:rPr>
          <w:i/>
          <w:sz w:val="40"/>
          <w:szCs w:val="40"/>
        </w:rPr>
      </w:pPr>
      <w:r>
        <w:rPr>
          <w:i/>
          <w:sz w:val="40"/>
          <w:szCs w:val="40"/>
        </w:rPr>
        <w:t xml:space="preserve">The </w:t>
      </w:r>
      <w:r w:rsidR="00196E8C">
        <w:rPr>
          <w:i/>
          <w:sz w:val="40"/>
          <w:szCs w:val="40"/>
        </w:rPr>
        <w:t>Educational Planning and Assessment System (</w:t>
      </w:r>
      <w:r w:rsidR="00F95A3C">
        <w:rPr>
          <w:i/>
          <w:sz w:val="40"/>
          <w:szCs w:val="40"/>
        </w:rPr>
        <w:t>EPAS</w:t>
      </w:r>
      <w:r w:rsidR="00196E8C">
        <w:rPr>
          <w:i/>
          <w:sz w:val="40"/>
          <w:szCs w:val="40"/>
        </w:rPr>
        <w:t>)</w:t>
      </w:r>
      <w:r w:rsidR="00F95A3C">
        <w:rPr>
          <w:i/>
          <w:sz w:val="40"/>
          <w:szCs w:val="40"/>
        </w:rPr>
        <w:t xml:space="preserve"> </w:t>
      </w:r>
      <w:r>
        <w:rPr>
          <w:i/>
          <w:sz w:val="40"/>
          <w:szCs w:val="40"/>
        </w:rPr>
        <w:t xml:space="preserve">and </w:t>
      </w:r>
      <w:r w:rsidR="00A854B6">
        <w:rPr>
          <w:i/>
          <w:sz w:val="40"/>
          <w:szCs w:val="40"/>
        </w:rPr>
        <w:t xml:space="preserve">College Readiness </w:t>
      </w:r>
    </w:p>
    <w:p w14:paraId="4561AEA3" w14:textId="77777777" w:rsidR="00C25BB7" w:rsidRDefault="00C25BB7" w:rsidP="00196E8C">
      <w:pPr>
        <w:jc w:val="center"/>
        <w:rPr>
          <w:i/>
          <w:sz w:val="40"/>
          <w:szCs w:val="40"/>
        </w:rPr>
      </w:pPr>
    </w:p>
    <w:p w14:paraId="2C891936" w14:textId="77777777" w:rsidR="0041406F" w:rsidRPr="00196E8C" w:rsidRDefault="00196E8C" w:rsidP="00196E8C">
      <w:pPr>
        <w:jc w:val="center"/>
        <w:rPr>
          <w:i/>
          <w:sz w:val="40"/>
          <w:szCs w:val="40"/>
        </w:rPr>
      </w:pPr>
      <w:r w:rsidRPr="006E3C61">
        <w:rPr>
          <w:noProof/>
        </w:rPr>
        <w:drawing>
          <wp:inline distT="0" distB="0" distL="0" distR="0" wp14:anchorId="2C89194F" wp14:editId="053E105C">
            <wp:extent cx="2000250" cy="1463659"/>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97704" cy="1461796"/>
                    </a:xfrm>
                    <a:prstGeom prst="rect">
                      <a:avLst/>
                    </a:prstGeom>
                    <a:noFill/>
                    <a:ln>
                      <a:noFill/>
                    </a:ln>
                  </pic:spPr>
                </pic:pic>
              </a:graphicData>
            </a:graphic>
          </wp:inline>
        </w:drawing>
      </w:r>
    </w:p>
    <w:p w14:paraId="2C891937" w14:textId="77777777" w:rsidR="0041406F" w:rsidRDefault="0041406F" w:rsidP="00DA47CF">
      <w:pPr>
        <w:jc w:val="center"/>
        <w:rPr>
          <w:b/>
          <w:szCs w:val="23"/>
          <w:u w:val="single"/>
        </w:rPr>
      </w:pPr>
    </w:p>
    <w:p w14:paraId="2C89193A" w14:textId="77777777" w:rsidR="00DA47CF" w:rsidRDefault="008768FC" w:rsidP="009F7EDD">
      <w:pPr>
        <w:rPr>
          <w:szCs w:val="23"/>
        </w:rPr>
      </w:pPr>
      <w:r>
        <w:rPr>
          <w:szCs w:val="23"/>
        </w:rPr>
        <w:t>College Readiness starts before a student walks into a school building.  Parents can emphasize and set the expectation that students are expected to do well in school and attend a post- secondary institute as they begin the basics of their child’s education.</w:t>
      </w:r>
    </w:p>
    <w:p w14:paraId="2C89193B" w14:textId="77777777" w:rsidR="008768FC" w:rsidRDefault="008768FC" w:rsidP="009F7EDD">
      <w:pPr>
        <w:rPr>
          <w:szCs w:val="23"/>
        </w:rPr>
      </w:pPr>
    </w:p>
    <w:p w14:paraId="2C89193C" w14:textId="77777777" w:rsidR="008768FC" w:rsidRDefault="008768FC" w:rsidP="009F7EDD">
      <w:pPr>
        <w:rPr>
          <w:szCs w:val="23"/>
        </w:rPr>
      </w:pPr>
      <w:r>
        <w:rPr>
          <w:szCs w:val="23"/>
        </w:rPr>
        <w:lastRenderedPageBreak/>
        <w:t>Once a child ent</w:t>
      </w:r>
      <w:r w:rsidR="004C25FB">
        <w:rPr>
          <w:szCs w:val="23"/>
        </w:rPr>
        <w:t>ers a school building, College R</w:t>
      </w:r>
      <w:r>
        <w:rPr>
          <w:szCs w:val="23"/>
        </w:rPr>
        <w:t>eadiness begins in earnest.  Reading, writing and math are the building blocks behind a child’s success.  MAP testing is one way to keep track of your child’s progress in reading and math</w:t>
      </w:r>
      <w:r w:rsidR="004C25FB">
        <w:rPr>
          <w:szCs w:val="23"/>
        </w:rPr>
        <w:t xml:space="preserve"> throughout elementary and middle school</w:t>
      </w:r>
      <w:r>
        <w:rPr>
          <w:szCs w:val="23"/>
        </w:rPr>
        <w:t>.</w:t>
      </w:r>
    </w:p>
    <w:p w14:paraId="2C89193D" w14:textId="77777777" w:rsidR="008768FC" w:rsidRDefault="008768FC" w:rsidP="009F7EDD">
      <w:pPr>
        <w:rPr>
          <w:szCs w:val="23"/>
        </w:rPr>
      </w:pPr>
    </w:p>
    <w:p w14:paraId="2C89193E" w14:textId="77777777" w:rsidR="008768FC" w:rsidRDefault="008768FC" w:rsidP="009F7EDD">
      <w:pPr>
        <w:rPr>
          <w:szCs w:val="23"/>
        </w:rPr>
      </w:pPr>
      <w:r>
        <w:rPr>
          <w:szCs w:val="23"/>
        </w:rPr>
        <w:t xml:space="preserve">Formal college readiness testing begins in the </w:t>
      </w:r>
      <w:r w:rsidR="004C25FB">
        <w:rPr>
          <w:szCs w:val="23"/>
        </w:rPr>
        <w:t xml:space="preserve">fall of the </w:t>
      </w:r>
      <w:r>
        <w:rPr>
          <w:szCs w:val="23"/>
        </w:rPr>
        <w:t>8</w:t>
      </w:r>
      <w:r w:rsidRPr="008768FC">
        <w:rPr>
          <w:szCs w:val="23"/>
          <w:vertAlign w:val="superscript"/>
        </w:rPr>
        <w:t>th</w:t>
      </w:r>
      <w:r>
        <w:rPr>
          <w:szCs w:val="23"/>
        </w:rPr>
        <w:t xml:space="preserve"> grade with </w:t>
      </w:r>
      <w:r w:rsidR="004C25FB">
        <w:rPr>
          <w:szCs w:val="23"/>
        </w:rPr>
        <w:t xml:space="preserve">the </w:t>
      </w:r>
      <w:r w:rsidR="004C25FB">
        <w:rPr>
          <w:b/>
          <w:szCs w:val="23"/>
        </w:rPr>
        <w:t>EXPLORE</w:t>
      </w:r>
      <w:r w:rsidR="004C25FB">
        <w:rPr>
          <w:szCs w:val="23"/>
        </w:rPr>
        <w:t xml:space="preserve"> test.</w:t>
      </w:r>
    </w:p>
    <w:p w14:paraId="2C89193F" w14:textId="77777777" w:rsidR="004C25FB" w:rsidRDefault="004C25FB" w:rsidP="009F7EDD">
      <w:pPr>
        <w:rPr>
          <w:szCs w:val="23"/>
        </w:rPr>
      </w:pPr>
    </w:p>
    <w:p w14:paraId="2C891940" w14:textId="77777777" w:rsidR="004C25FB" w:rsidRDefault="004C25FB" w:rsidP="009F7EDD">
      <w:pPr>
        <w:rPr>
          <w:szCs w:val="23"/>
        </w:rPr>
      </w:pPr>
      <w:r>
        <w:rPr>
          <w:szCs w:val="23"/>
        </w:rPr>
        <w:t>The</w:t>
      </w:r>
      <w:r w:rsidRPr="004C25FB">
        <w:rPr>
          <w:b/>
          <w:szCs w:val="23"/>
        </w:rPr>
        <w:t xml:space="preserve"> </w:t>
      </w:r>
      <w:r>
        <w:rPr>
          <w:b/>
          <w:szCs w:val="23"/>
        </w:rPr>
        <w:t>EXPLORE</w:t>
      </w:r>
      <w:r>
        <w:rPr>
          <w:szCs w:val="23"/>
        </w:rPr>
        <w:t xml:space="preserve"> test is a national test given in the state of Kentucky at grade 8.  These test results serve as an indicator of high school readiness and is a predictor of success on the </w:t>
      </w:r>
      <w:r>
        <w:rPr>
          <w:b/>
          <w:szCs w:val="23"/>
        </w:rPr>
        <w:t>PLAN</w:t>
      </w:r>
      <w:r>
        <w:rPr>
          <w:szCs w:val="23"/>
        </w:rPr>
        <w:t xml:space="preserve"> test and later the </w:t>
      </w:r>
      <w:r w:rsidRPr="004C25FB">
        <w:rPr>
          <w:b/>
          <w:szCs w:val="23"/>
        </w:rPr>
        <w:t>ACT</w:t>
      </w:r>
      <w:r>
        <w:rPr>
          <w:szCs w:val="23"/>
        </w:rPr>
        <w:t xml:space="preserve"> test.  There are four sections to the </w:t>
      </w:r>
      <w:r>
        <w:rPr>
          <w:b/>
          <w:szCs w:val="23"/>
        </w:rPr>
        <w:t>EXPLORE</w:t>
      </w:r>
      <w:r>
        <w:rPr>
          <w:szCs w:val="23"/>
        </w:rPr>
        <w:t xml:space="preserve"> test.  There are English, Math, Reading, and Science sections on the test.  Each test is 30 minutes long.</w:t>
      </w:r>
    </w:p>
    <w:p w14:paraId="2C891941" w14:textId="77777777" w:rsidR="004C25FB" w:rsidRDefault="004C25FB" w:rsidP="009F7EDD">
      <w:pPr>
        <w:rPr>
          <w:szCs w:val="23"/>
        </w:rPr>
      </w:pPr>
    </w:p>
    <w:p w14:paraId="2C891942" w14:textId="7289EDAB" w:rsidR="004C25FB" w:rsidRDefault="004C25FB" w:rsidP="009F7EDD">
      <w:pPr>
        <w:rPr>
          <w:szCs w:val="23"/>
        </w:rPr>
      </w:pPr>
      <w:r>
        <w:rPr>
          <w:szCs w:val="23"/>
        </w:rPr>
        <w:t xml:space="preserve">Results of the </w:t>
      </w:r>
      <w:r>
        <w:rPr>
          <w:b/>
          <w:szCs w:val="23"/>
        </w:rPr>
        <w:t>EXPLORE</w:t>
      </w:r>
      <w:r>
        <w:rPr>
          <w:szCs w:val="23"/>
        </w:rPr>
        <w:t xml:space="preserve"> test let you compare your child’s scores with their peers across the nation.  The results also contain information about your child’s educational and career plans, interests, high school course work plans, and the amount of help your child they may feel the</w:t>
      </w:r>
      <w:r w:rsidR="00196E8C">
        <w:rPr>
          <w:szCs w:val="23"/>
        </w:rPr>
        <w:t>y</w:t>
      </w:r>
      <w:r w:rsidR="00C25BB7">
        <w:rPr>
          <w:szCs w:val="23"/>
        </w:rPr>
        <w:t xml:space="preserve"> need in several</w:t>
      </w:r>
      <w:bookmarkStart w:id="0" w:name="_GoBack"/>
      <w:bookmarkEnd w:id="0"/>
      <w:r>
        <w:rPr>
          <w:szCs w:val="23"/>
        </w:rPr>
        <w:t xml:space="preserve"> areas.</w:t>
      </w:r>
    </w:p>
    <w:p w14:paraId="2C891943" w14:textId="77777777" w:rsidR="004C25FB" w:rsidRDefault="004C25FB" w:rsidP="009F7EDD">
      <w:pPr>
        <w:rPr>
          <w:szCs w:val="23"/>
        </w:rPr>
      </w:pPr>
    </w:p>
    <w:p w14:paraId="2C891944" w14:textId="77777777" w:rsidR="004C25FB" w:rsidRDefault="004C25FB" w:rsidP="009F7EDD">
      <w:pPr>
        <w:rPr>
          <w:szCs w:val="23"/>
        </w:rPr>
      </w:pPr>
      <w:r>
        <w:rPr>
          <w:szCs w:val="23"/>
        </w:rPr>
        <w:lastRenderedPageBreak/>
        <w:t xml:space="preserve">The </w:t>
      </w:r>
      <w:r>
        <w:rPr>
          <w:b/>
          <w:szCs w:val="23"/>
        </w:rPr>
        <w:t>PLAN</w:t>
      </w:r>
      <w:r>
        <w:rPr>
          <w:szCs w:val="23"/>
        </w:rPr>
        <w:t xml:space="preserve"> test is given in the fall of the 10</w:t>
      </w:r>
      <w:r w:rsidRPr="004C25FB">
        <w:rPr>
          <w:szCs w:val="23"/>
          <w:vertAlign w:val="superscript"/>
        </w:rPr>
        <w:t>th</w:t>
      </w:r>
      <w:r>
        <w:rPr>
          <w:szCs w:val="23"/>
        </w:rPr>
        <w:t xml:space="preserve"> grade year.  </w:t>
      </w:r>
      <w:r w:rsidR="000C0711">
        <w:rPr>
          <w:szCs w:val="23"/>
        </w:rPr>
        <w:t xml:space="preserve">Like the </w:t>
      </w:r>
      <w:r w:rsidR="000C0711" w:rsidRPr="000C0711">
        <w:rPr>
          <w:b/>
          <w:szCs w:val="23"/>
        </w:rPr>
        <w:t xml:space="preserve">EXPLORE </w:t>
      </w:r>
      <w:r w:rsidR="000C0711">
        <w:rPr>
          <w:szCs w:val="23"/>
        </w:rPr>
        <w:t xml:space="preserve">test the PLAN has four sub tests in the subjects of English, Math, Reading, and Science. </w:t>
      </w:r>
      <w:r>
        <w:rPr>
          <w:szCs w:val="23"/>
        </w:rPr>
        <w:t>The</w:t>
      </w:r>
      <w:r w:rsidRPr="004C25FB">
        <w:rPr>
          <w:b/>
          <w:szCs w:val="23"/>
        </w:rPr>
        <w:t xml:space="preserve"> PLAN</w:t>
      </w:r>
      <w:r>
        <w:rPr>
          <w:b/>
          <w:szCs w:val="23"/>
        </w:rPr>
        <w:t xml:space="preserve"> </w:t>
      </w:r>
      <w:r>
        <w:rPr>
          <w:szCs w:val="23"/>
        </w:rPr>
        <w:t>serves as a midpoint measure of academic progress in ACT’s College and Career Readiness System</w:t>
      </w:r>
      <w:r w:rsidR="000C0711">
        <w:rPr>
          <w:szCs w:val="23"/>
        </w:rPr>
        <w:t xml:space="preserve">.  The </w:t>
      </w:r>
      <w:r w:rsidR="000C0711" w:rsidRPr="000C0711">
        <w:rPr>
          <w:b/>
          <w:szCs w:val="23"/>
        </w:rPr>
        <w:t>PLAN</w:t>
      </w:r>
      <w:r w:rsidR="000C0711">
        <w:rPr>
          <w:b/>
          <w:szCs w:val="23"/>
        </w:rPr>
        <w:t xml:space="preserve"> </w:t>
      </w:r>
      <w:r w:rsidR="000C0711">
        <w:rPr>
          <w:szCs w:val="23"/>
        </w:rPr>
        <w:t xml:space="preserve">results can be used to look at your child’s academic progress </w:t>
      </w:r>
      <w:r w:rsidR="00196E8C">
        <w:rPr>
          <w:szCs w:val="23"/>
        </w:rPr>
        <w:t>and also</w:t>
      </w:r>
      <w:r w:rsidR="000C0711">
        <w:rPr>
          <w:szCs w:val="23"/>
        </w:rPr>
        <w:t xml:space="preserve"> provides information on career and training options that match your child’s interests and academic skills.</w:t>
      </w:r>
    </w:p>
    <w:p w14:paraId="2C891945" w14:textId="77777777" w:rsidR="000C0711" w:rsidRDefault="000C0711" w:rsidP="009F7EDD">
      <w:pPr>
        <w:rPr>
          <w:szCs w:val="23"/>
        </w:rPr>
      </w:pPr>
    </w:p>
    <w:p w14:paraId="2C891946" w14:textId="25BFEBBC" w:rsidR="000C0711" w:rsidRDefault="000C0711" w:rsidP="009F7EDD">
      <w:pPr>
        <w:rPr>
          <w:szCs w:val="23"/>
        </w:rPr>
      </w:pPr>
      <w:r>
        <w:rPr>
          <w:szCs w:val="23"/>
        </w:rPr>
        <w:t xml:space="preserve">The </w:t>
      </w:r>
      <w:r w:rsidRPr="000C0711">
        <w:rPr>
          <w:b/>
          <w:szCs w:val="23"/>
        </w:rPr>
        <w:t>ACT</w:t>
      </w:r>
      <w:r>
        <w:rPr>
          <w:b/>
          <w:szCs w:val="23"/>
        </w:rPr>
        <w:t xml:space="preserve"> </w:t>
      </w:r>
      <w:r>
        <w:rPr>
          <w:szCs w:val="23"/>
        </w:rPr>
        <w:t xml:space="preserve">test is universally given to all </w:t>
      </w:r>
      <w:r w:rsidR="00196E8C">
        <w:rPr>
          <w:szCs w:val="23"/>
        </w:rPr>
        <w:t>students</w:t>
      </w:r>
      <w:r>
        <w:rPr>
          <w:szCs w:val="23"/>
        </w:rPr>
        <w:t xml:space="preserve"> in the spring of their junior year in Kentucky.  Many students take the </w:t>
      </w:r>
      <w:r w:rsidRPr="000C0711">
        <w:rPr>
          <w:b/>
          <w:szCs w:val="23"/>
        </w:rPr>
        <w:t>ACT</w:t>
      </w:r>
      <w:r>
        <w:rPr>
          <w:szCs w:val="23"/>
        </w:rPr>
        <w:t xml:space="preserve"> again in their senior year to raise their scores and increase their scholarship and college admission opportunities. </w:t>
      </w:r>
      <w:r w:rsidR="00A441EC">
        <w:rPr>
          <w:szCs w:val="23"/>
        </w:rPr>
        <w:t xml:space="preserve">The test format is the same as the </w:t>
      </w:r>
      <w:r w:rsidR="00A441EC" w:rsidRPr="00A441EC">
        <w:rPr>
          <w:b/>
          <w:szCs w:val="23"/>
        </w:rPr>
        <w:t xml:space="preserve">EXPLORE </w:t>
      </w:r>
      <w:r w:rsidR="00A441EC">
        <w:rPr>
          <w:szCs w:val="23"/>
        </w:rPr>
        <w:t xml:space="preserve">and the </w:t>
      </w:r>
      <w:r w:rsidR="00A441EC" w:rsidRPr="00A441EC">
        <w:rPr>
          <w:b/>
          <w:szCs w:val="23"/>
        </w:rPr>
        <w:t>PLAN</w:t>
      </w:r>
      <w:r w:rsidR="00A441EC">
        <w:rPr>
          <w:b/>
          <w:szCs w:val="23"/>
        </w:rPr>
        <w:t xml:space="preserve">.  </w:t>
      </w:r>
      <w:r w:rsidR="00A441EC" w:rsidRPr="00A441EC">
        <w:rPr>
          <w:szCs w:val="23"/>
        </w:rPr>
        <w:t>Students need to reach benchmark scores in</w:t>
      </w:r>
      <w:r w:rsidR="00A441EC">
        <w:rPr>
          <w:b/>
          <w:szCs w:val="23"/>
        </w:rPr>
        <w:t xml:space="preserve"> </w:t>
      </w:r>
      <w:r w:rsidR="00A441EC">
        <w:rPr>
          <w:szCs w:val="23"/>
        </w:rPr>
        <w:t>English, Math, and Reading to be considered College Ready and admitted into credit bearing college courses</w:t>
      </w:r>
      <w:r w:rsidR="00F651AF">
        <w:rPr>
          <w:szCs w:val="23"/>
        </w:rPr>
        <w:t xml:space="preserve"> (see the back of the brochure).</w:t>
      </w:r>
      <w:r w:rsidR="00A441EC">
        <w:rPr>
          <w:szCs w:val="23"/>
        </w:rPr>
        <w:t xml:space="preserve"> </w:t>
      </w:r>
    </w:p>
    <w:p w14:paraId="2C891947" w14:textId="77777777" w:rsidR="00A441EC" w:rsidRDefault="00A441EC" w:rsidP="009F7EDD">
      <w:pPr>
        <w:rPr>
          <w:szCs w:val="23"/>
        </w:rPr>
      </w:pPr>
    </w:p>
    <w:p w14:paraId="2C891948" w14:textId="77777777" w:rsidR="00F651AF" w:rsidRDefault="00A441EC" w:rsidP="009F7EDD">
      <w:pPr>
        <w:rPr>
          <w:szCs w:val="23"/>
        </w:rPr>
      </w:pPr>
      <w:r>
        <w:rPr>
          <w:szCs w:val="23"/>
        </w:rPr>
        <w:t>Juniors that do not meet the KY-C</w:t>
      </w:r>
      <w:r w:rsidR="00964486">
        <w:rPr>
          <w:szCs w:val="23"/>
        </w:rPr>
        <w:t>ouncil for Post-secondary Education (CPE)</w:t>
      </w:r>
      <w:r>
        <w:rPr>
          <w:szCs w:val="23"/>
        </w:rPr>
        <w:t xml:space="preserve"> benchmarks </w:t>
      </w:r>
      <w:r w:rsidR="00964486">
        <w:rPr>
          <w:szCs w:val="23"/>
        </w:rPr>
        <w:t>must</w:t>
      </w:r>
      <w:r>
        <w:rPr>
          <w:szCs w:val="23"/>
        </w:rPr>
        <w:t xml:space="preserve"> receive remediation in the subject(s) they did not meet benchmarks in and then take the ACT/Compass test during their senior year.  </w:t>
      </w:r>
    </w:p>
    <w:p w14:paraId="2C891949" w14:textId="77777777" w:rsidR="00F651AF" w:rsidRDefault="00F651AF" w:rsidP="009F7EDD">
      <w:pPr>
        <w:rPr>
          <w:szCs w:val="23"/>
        </w:rPr>
      </w:pPr>
    </w:p>
    <w:p w14:paraId="2C89194A" w14:textId="77777777" w:rsidR="00A441EC" w:rsidRDefault="00A441EC" w:rsidP="009F7EDD">
      <w:pPr>
        <w:rPr>
          <w:szCs w:val="23"/>
        </w:rPr>
      </w:pPr>
      <w:r>
        <w:rPr>
          <w:szCs w:val="23"/>
        </w:rPr>
        <w:t>It is the goal of</w:t>
      </w:r>
      <w:r w:rsidR="00F651AF" w:rsidRPr="00F651AF">
        <w:rPr>
          <w:szCs w:val="23"/>
        </w:rPr>
        <w:t xml:space="preserve"> </w:t>
      </w:r>
      <w:r w:rsidR="00F651AF">
        <w:rPr>
          <w:szCs w:val="23"/>
        </w:rPr>
        <w:t xml:space="preserve">our district and </w:t>
      </w:r>
      <w:r>
        <w:rPr>
          <w:szCs w:val="23"/>
        </w:rPr>
        <w:t>the state of Kentucky to ensure that all students are prepared to handle the academic rigors of post-secondary training.</w:t>
      </w:r>
      <w:r w:rsidR="00F651AF">
        <w:rPr>
          <w:szCs w:val="23"/>
        </w:rPr>
        <w:t xml:space="preserve">  These assessments help us follow the students’ trajectory towards College Readiness and provide interventions as needed to ensure all students will have a chance at the future they deserve.</w:t>
      </w:r>
    </w:p>
    <w:p w14:paraId="2C89194B" w14:textId="77777777" w:rsidR="00F651AF" w:rsidRDefault="00F651AF" w:rsidP="009F7EDD">
      <w:pPr>
        <w:rPr>
          <w:szCs w:val="23"/>
        </w:rPr>
      </w:pPr>
    </w:p>
    <w:p w14:paraId="2C89194C" w14:textId="77777777" w:rsidR="00F651AF" w:rsidRPr="00A441EC" w:rsidRDefault="00F651AF" w:rsidP="009F7EDD">
      <w:pPr>
        <w:rPr>
          <w:szCs w:val="23"/>
        </w:rPr>
      </w:pPr>
      <w:r>
        <w:rPr>
          <w:szCs w:val="23"/>
        </w:rPr>
        <w:t xml:space="preserve">Information concerning the </w:t>
      </w:r>
      <w:r w:rsidRPr="00F651AF">
        <w:rPr>
          <w:b/>
          <w:szCs w:val="23"/>
        </w:rPr>
        <w:t>EXPLORE</w:t>
      </w:r>
      <w:r>
        <w:rPr>
          <w:szCs w:val="23"/>
        </w:rPr>
        <w:t xml:space="preserve">, </w:t>
      </w:r>
      <w:r w:rsidRPr="00F651AF">
        <w:rPr>
          <w:b/>
          <w:szCs w:val="23"/>
        </w:rPr>
        <w:t>PLAN</w:t>
      </w:r>
      <w:r>
        <w:rPr>
          <w:szCs w:val="23"/>
        </w:rPr>
        <w:t xml:space="preserve">, and </w:t>
      </w:r>
      <w:r w:rsidRPr="00F651AF">
        <w:rPr>
          <w:b/>
          <w:szCs w:val="23"/>
        </w:rPr>
        <w:t xml:space="preserve">ACT </w:t>
      </w:r>
      <w:r>
        <w:rPr>
          <w:szCs w:val="23"/>
        </w:rPr>
        <w:t>tests has been provided by the EPAS system’s website.</w:t>
      </w:r>
    </w:p>
    <w:sectPr w:rsidR="00F651AF" w:rsidRPr="00A441EC" w:rsidSect="00DA47CF">
      <w:pgSz w:w="15840" w:h="12240" w:orient="landscape"/>
      <w:pgMar w:top="720" w:right="720" w:bottom="18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52254"/>
    <w:multiLevelType w:val="hybridMultilevel"/>
    <w:tmpl w:val="2EBEA38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2AE95810"/>
    <w:multiLevelType w:val="hybridMultilevel"/>
    <w:tmpl w:val="5A70175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2BEA7731"/>
    <w:multiLevelType w:val="multilevel"/>
    <w:tmpl w:val="44A270B6"/>
    <w:lvl w:ilvl="0">
      <w:start w:val="1"/>
      <w:numFmt w:val="bullet"/>
      <w:lvlText w:val="o"/>
      <w:lvlJc w:val="left"/>
      <w:pPr>
        <w:tabs>
          <w:tab w:val="num" w:pos="1440"/>
        </w:tabs>
        <w:ind w:left="1440" w:hanging="360"/>
      </w:pPr>
      <w:rPr>
        <w:rFonts w:ascii="Courier New" w:hAnsi="Courier New" w:cs="Symbol" w:hint="default"/>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4BD43A89"/>
    <w:multiLevelType w:val="hybridMultilevel"/>
    <w:tmpl w:val="A212F41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62E0792E"/>
    <w:multiLevelType w:val="hybridMultilevel"/>
    <w:tmpl w:val="44A270B6"/>
    <w:lvl w:ilvl="0" w:tplc="04090003">
      <w:start w:val="1"/>
      <w:numFmt w:val="bullet"/>
      <w:lvlText w:val="o"/>
      <w:lvlJc w:val="left"/>
      <w:pPr>
        <w:tabs>
          <w:tab w:val="num" w:pos="1440"/>
        </w:tabs>
        <w:ind w:left="1440" w:hanging="360"/>
      </w:pPr>
      <w:rPr>
        <w:rFonts w:ascii="Courier New" w:hAnsi="Courier New" w:cs="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B21317F"/>
    <w:multiLevelType w:val="hybridMultilevel"/>
    <w:tmpl w:val="141CD4AA"/>
    <w:lvl w:ilvl="0" w:tplc="758CEC1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Symbol"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Symbol"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Symbol"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6">
    <w:nsid w:val="7D7B36D6"/>
    <w:multiLevelType w:val="hybridMultilevel"/>
    <w:tmpl w:val="E96435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
  </w:num>
  <w:num w:numId="2">
    <w:abstractNumId w:val="1"/>
  </w:num>
  <w:num w:numId="3">
    <w:abstractNumId w:val="0"/>
  </w:num>
  <w:num w:numId="4">
    <w:abstractNumId w:val="6"/>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4B6"/>
    <w:rsid w:val="00061CA8"/>
    <w:rsid w:val="000C0711"/>
    <w:rsid w:val="000F4E95"/>
    <w:rsid w:val="00196E8C"/>
    <w:rsid w:val="0041406F"/>
    <w:rsid w:val="004C25FB"/>
    <w:rsid w:val="005A49AC"/>
    <w:rsid w:val="006E3C61"/>
    <w:rsid w:val="007B4DBA"/>
    <w:rsid w:val="007D112C"/>
    <w:rsid w:val="008768FC"/>
    <w:rsid w:val="008F2E27"/>
    <w:rsid w:val="00964486"/>
    <w:rsid w:val="009F5E64"/>
    <w:rsid w:val="009F7EDD"/>
    <w:rsid w:val="00A441EC"/>
    <w:rsid w:val="00A76071"/>
    <w:rsid w:val="00A854B6"/>
    <w:rsid w:val="00B044DB"/>
    <w:rsid w:val="00C10229"/>
    <w:rsid w:val="00C25BB7"/>
    <w:rsid w:val="00C5523B"/>
    <w:rsid w:val="00D326EB"/>
    <w:rsid w:val="00D32DCA"/>
    <w:rsid w:val="00D43D6A"/>
    <w:rsid w:val="00DA47CF"/>
    <w:rsid w:val="00EA0EBC"/>
    <w:rsid w:val="00F651AF"/>
    <w:rsid w:val="00F95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891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06F"/>
    <w:rPr>
      <w:rFonts w:ascii="Comic Sans MS" w:hAnsi="Comic Sans MS"/>
      <w:sz w:val="23"/>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946EE"/>
    <w:rPr>
      <w:color w:val="0000FF"/>
      <w:u w:val="single"/>
    </w:rPr>
  </w:style>
  <w:style w:type="paragraph" w:styleId="BalloonText">
    <w:name w:val="Balloon Text"/>
    <w:basedOn w:val="Normal"/>
    <w:semiHidden/>
    <w:rsid w:val="00BA21B7"/>
    <w:rPr>
      <w:rFonts w:ascii="Tahoma" w:hAnsi="Tahoma" w:cs="Tahoma"/>
      <w:sz w:val="16"/>
      <w:szCs w:val="16"/>
    </w:rPr>
  </w:style>
  <w:style w:type="table" w:styleId="TableGrid">
    <w:name w:val="Table Grid"/>
    <w:basedOn w:val="TableNormal"/>
    <w:uiPriority w:val="59"/>
    <w:rsid w:val="00061C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06F"/>
    <w:rPr>
      <w:rFonts w:ascii="Comic Sans MS" w:hAnsi="Comic Sans MS"/>
      <w:sz w:val="23"/>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946EE"/>
    <w:rPr>
      <w:color w:val="0000FF"/>
      <w:u w:val="single"/>
    </w:rPr>
  </w:style>
  <w:style w:type="paragraph" w:styleId="BalloonText">
    <w:name w:val="Balloon Text"/>
    <w:basedOn w:val="Normal"/>
    <w:semiHidden/>
    <w:rsid w:val="00BA21B7"/>
    <w:rPr>
      <w:rFonts w:ascii="Tahoma" w:hAnsi="Tahoma" w:cs="Tahoma"/>
      <w:sz w:val="16"/>
      <w:szCs w:val="16"/>
    </w:rPr>
  </w:style>
  <w:style w:type="table" w:styleId="TableGrid">
    <w:name w:val="Table Grid"/>
    <w:basedOn w:val="TableNormal"/>
    <w:uiPriority w:val="59"/>
    <w:rsid w:val="00061C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ctstudent.org/index.html" TargetMode="Externa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2.w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microsoft.com/office/2007/relationships/stylesWithEffects" Target="stylesWithEffects.xml"/><Relationship Id="rId10" Type="http://schemas.openxmlformats.org/officeDocument/2006/relationships/hyperlink" Target="http://www.actstudent.org/plan/" TargetMode="External"/><Relationship Id="rId4" Type="http://schemas.openxmlformats.org/officeDocument/2006/relationships/styles" Target="styles.xml"/><Relationship Id="rId9" Type="http://schemas.openxmlformats.org/officeDocument/2006/relationships/hyperlink" Target="http://www.actstudent.org/explore/"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schultz\Application%20Data\Microsoft\Templates\TP03000070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C8BCDF-488C-4D6A-8291-2A2DC6CA71A2}">
  <ds:schemaRefs>
    <ds:schemaRef ds:uri="http://schemas.microsoft.com/sharepoint/v3/contenttype/forms"/>
  </ds:schemaRefs>
</ds:datastoreItem>
</file>

<file path=customXml/itemProps2.xml><?xml version="1.0" encoding="utf-8"?>
<ds:datastoreItem xmlns:ds="http://schemas.openxmlformats.org/officeDocument/2006/customXml" ds:itemID="{1C69C459-A64B-4451-8411-7DA046B76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TP030000700</Template>
  <TotalTime>0</TotalTime>
  <Pages>2</Pages>
  <Words>631</Words>
  <Characters>3599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4222</CharactersWithSpaces>
  <SharedDoc>false</SharedDoc>
  <HLinks>
    <vt:vector size="12" baseType="variant">
      <vt:variant>
        <vt:i4>1966140</vt:i4>
      </vt:variant>
      <vt:variant>
        <vt:i4>3</vt:i4>
      </vt:variant>
      <vt:variant>
        <vt:i4>0</vt:i4>
      </vt:variant>
      <vt:variant>
        <vt:i4>5</vt:i4>
      </vt:variant>
      <vt:variant>
        <vt:lpwstr>mailto:okshannon@comcast.net</vt:lpwstr>
      </vt:variant>
      <vt:variant>
        <vt:lpwstr/>
      </vt:variant>
      <vt:variant>
        <vt:i4>2818133</vt:i4>
      </vt:variant>
      <vt:variant>
        <vt:i4>0</vt:i4>
      </vt:variant>
      <vt:variant>
        <vt:i4>0</vt:i4>
      </vt:variant>
      <vt:variant>
        <vt:i4>5</vt:i4>
      </vt:variant>
      <vt:variant>
        <vt:lpwstr>mailto:skeyam@hsd401.org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gschultz</dc:creator>
  <cp:lastModifiedBy>Gabbard, Cindy (Director of Federal Programs)</cp:lastModifiedBy>
  <cp:revision>2</cp:revision>
  <cp:lastPrinted>2013-08-06T19:33:00Z</cp:lastPrinted>
  <dcterms:created xsi:type="dcterms:W3CDTF">2013-08-06T19:33:00Z</dcterms:created>
  <dcterms:modified xsi:type="dcterms:W3CDTF">2013-08-06T19:33:00Z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TC300007009990</vt:lpwstr>
  </property>
</Properties>
</file>