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3068" w14:textId="77777777" w:rsidR="005D1FCD" w:rsidRDefault="005D1FCD" w:rsidP="00F8794E">
      <w:pPr>
        <w:jc w:val="center"/>
      </w:pPr>
    </w:p>
    <w:p w14:paraId="1A60DA14" w14:textId="77777777" w:rsidR="005D1FCD" w:rsidRDefault="005D1FCD" w:rsidP="005F55EC"/>
    <w:p w14:paraId="109AF202" w14:textId="77777777" w:rsidR="001547BF" w:rsidRPr="005F55EC" w:rsidRDefault="00F8794E" w:rsidP="00F8794E">
      <w:pPr>
        <w:jc w:val="center"/>
        <w:rPr>
          <w:sz w:val="22"/>
          <w:szCs w:val="22"/>
        </w:rPr>
      </w:pPr>
      <w:r w:rsidRPr="005F55EC">
        <w:rPr>
          <w:sz w:val="22"/>
          <w:szCs w:val="22"/>
        </w:rPr>
        <w:t>CERT Parent Information</w:t>
      </w:r>
    </w:p>
    <w:p w14:paraId="2342E7CF" w14:textId="77777777" w:rsidR="00F8794E" w:rsidRPr="005F55EC" w:rsidRDefault="00F8794E" w:rsidP="00F8794E">
      <w:pPr>
        <w:jc w:val="center"/>
        <w:rPr>
          <w:sz w:val="22"/>
          <w:szCs w:val="22"/>
        </w:rPr>
      </w:pPr>
    </w:p>
    <w:p w14:paraId="58C3A2B3" w14:textId="77777777" w:rsidR="00F8794E" w:rsidRPr="005F55EC" w:rsidRDefault="00F8794E" w:rsidP="00F8794E">
      <w:pPr>
        <w:rPr>
          <w:sz w:val="22"/>
          <w:szCs w:val="22"/>
        </w:rPr>
      </w:pPr>
      <w:r w:rsidRPr="005F55EC">
        <w:rPr>
          <w:sz w:val="22"/>
          <w:szCs w:val="22"/>
        </w:rPr>
        <w:t xml:space="preserve">Dear Parent, </w:t>
      </w:r>
    </w:p>
    <w:p w14:paraId="64459733" w14:textId="77777777" w:rsidR="00F8794E" w:rsidRPr="005F55EC" w:rsidRDefault="00F8794E" w:rsidP="00F8794E">
      <w:pPr>
        <w:rPr>
          <w:sz w:val="22"/>
          <w:szCs w:val="22"/>
        </w:rPr>
      </w:pPr>
    </w:p>
    <w:p w14:paraId="5CC66820" w14:textId="7BF6E52A" w:rsidR="00EC27B8" w:rsidRPr="005F55EC" w:rsidRDefault="00F247D1" w:rsidP="00F8794E">
      <w:pPr>
        <w:rPr>
          <w:sz w:val="22"/>
          <w:szCs w:val="22"/>
        </w:rPr>
      </w:pPr>
      <w:r w:rsidRPr="005F55EC">
        <w:rPr>
          <w:sz w:val="22"/>
          <w:szCs w:val="22"/>
        </w:rPr>
        <w:t xml:space="preserve">Your child recently completed an in-school assessment using CERT, the </w:t>
      </w:r>
      <w:r w:rsidR="00F8794E" w:rsidRPr="005F55EC">
        <w:rPr>
          <w:sz w:val="22"/>
          <w:szCs w:val="22"/>
        </w:rPr>
        <w:t>College Equip</w:t>
      </w:r>
      <w:r w:rsidR="00607A9E" w:rsidRPr="005F55EC">
        <w:rPr>
          <w:sz w:val="22"/>
          <w:szCs w:val="22"/>
        </w:rPr>
        <w:t>p</w:t>
      </w:r>
      <w:r w:rsidR="00F8794E" w:rsidRPr="005F55EC">
        <w:rPr>
          <w:sz w:val="22"/>
          <w:szCs w:val="22"/>
        </w:rPr>
        <w:t xml:space="preserve">ed </w:t>
      </w:r>
      <w:r w:rsidRPr="005F55EC">
        <w:rPr>
          <w:sz w:val="22"/>
          <w:szCs w:val="22"/>
        </w:rPr>
        <w:t>Readiness Tool</w:t>
      </w:r>
      <w:r w:rsidR="00F8794E" w:rsidRPr="005F55EC">
        <w:rPr>
          <w:sz w:val="22"/>
          <w:szCs w:val="22"/>
        </w:rPr>
        <w:t>.  Th</w:t>
      </w:r>
      <w:r w:rsidRPr="005F55EC">
        <w:rPr>
          <w:sz w:val="22"/>
          <w:szCs w:val="22"/>
        </w:rPr>
        <w:t>e assessment, which is aligned with the ACT College and Career Readiness Standards, was designed</w:t>
      </w:r>
      <w:r w:rsidR="00F8794E" w:rsidRPr="005F55EC">
        <w:rPr>
          <w:sz w:val="22"/>
          <w:szCs w:val="22"/>
        </w:rPr>
        <w:t xml:space="preserve"> to </w:t>
      </w:r>
      <w:r w:rsidR="00607A9E" w:rsidRPr="005F55EC">
        <w:rPr>
          <w:sz w:val="22"/>
          <w:szCs w:val="22"/>
        </w:rPr>
        <w:t>measure</w:t>
      </w:r>
      <w:r w:rsidR="00EC27B8" w:rsidRPr="005F55EC">
        <w:rPr>
          <w:sz w:val="22"/>
          <w:szCs w:val="22"/>
        </w:rPr>
        <w:t xml:space="preserve"> your child</w:t>
      </w:r>
      <w:r w:rsidRPr="005F55EC">
        <w:rPr>
          <w:sz w:val="22"/>
          <w:szCs w:val="22"/>
        </w:rPr>
        <w:t>’s proficiency in English, Mathematics, Reading, and Science</w:t>
      </w:r>
      <w:r w:rsidR="00F8794E" w:rsidRPr="005F55EC">
        <w:rPr>
          <w:sz w:val="22"/>
          <w:szCs w:val="22"/>
        </w:rPr>
        <w:t>.</w:t>
      </w:r>
      <w:r w:rsidR="004F69A0" w:rsidRPr="005F55EC">
        <w:rPr>
          <w:sz w:val="22"/>
          <w:szCs w:val="22"/>
        </w:rPr>
        <w:t xml:space="preserve">  Below is information </w:t>
      </w:r>
      <w:r w:rsidR="00E83E13" w:rsidRPr="005F55EC">
        <w:rPr>
          <w:sz w:val="22"/>
          <w:szCs w:val="22"/>
        </w:rPr>
        <w:t>intended to</w:t>
      </w:r>
      <w:r w:rsidRPr="005F55EC">
        <w:rPr>
          <w:sz w:val="22"/>
          <w:szCs w:val="22"/>
        </w:rPr>
        <w:t xml:space="preserve"> help you better understand the results of </w:t>
      </w:r>
      <w:r w:rsidR="004F69A0" w:rsidRPr="005F55EC">
        <w:rPr>
          <w:sz w:val="22"/>
          <w:szCs w:val="22"/>
        </w:rPr>
        <w:t>this assessment</w:t>
      </w:r>
      <w:r w:rsidR="00E83E13" w:rsidRPr="005F55EC">
        <w:rPr>
          <w:sz w:val="22"/>
          <w:szCs w:val="22"/>
        </w:rPr>
        <w:t xml:space="preserve"> and any previous assessments</w:t>
      </w:r>
      <w:r w:rsidR="004F69A0" w:rsidRPr="005F55EC">
        <w:rPr>
          <w:sz w:val="22"/>
          <w:szCs w:val="22"/>
        </w:rPr>
        <w:t>.</w:t>
      </w:r>
    </w:p>
    <w:p w14:paraId="42958358" w14:textId="77777777" w:rsidR="00EC27B8" w:rsidRPr="005F55EC" w:rsidRDefault="00EC27B8" w:rsidP="00F8794E">
      <w:pPr>
        <w:rPr>
          <w:sz w:val="22"/>
          <w:szCs w:val="22"/>
        </w:rPr>
      </w:pPr>
    </w:p>
    <w:p w14:paraId="7CDC9A23" w14:textId="77777777" w:rsidR="00EC27B8" w:rsidRPr="005F55EC" w:rsidRDefault="00EC27B8" w:rsidP="00F8794E">
      <w:pPr>
        <w:rPr>
          <w:b/>
          <w:sz w:val="22"/>
          <w:szCs w:val="22"/>
        </w:rPr>
      </w:pPr>
      <w:r w:rsidRPr="005F55EC">
        <w:rPr>
          <w:b/>
          <w:sz w:val="22"/>
          <w:szCs w:val="22"/>
        </w:rPr>
        <w:t>What are the ACT College and Career Readiness Standards?</w:t>
      </w:r>
    </w:p>
    <w:p w14:paraId="36122262" w14:textId="06FBA6C4" w:rsidR="003D53D1" w:rsidRPr="005F55EC" w:rsidRDefault="004F69A0" w:rsidP="00F8794E">
      <w:pPr>
        <w:rPr>
          <w:sz w:val="22"/>
          <w:szCs w:val="22"/>
        </w:rPr>
      </w:pPr>
      <w:r w:rsidRPr="005F55EC">
        <w:rPr>
          <w:sz w:val="22"/>
          <w:szCs w:val="22"/>
        </w:rPr>
        <w:t>The ACT College and Career Readiness Standards (the “Standards”)</w:t>
      </w:r>
      <w:r w:rsidR="00EC27B8" w:rsidRPr="005F55EC">
        <w:rPr>
          <w:sz w:val="22"/>
          <w:szCs w:val="22"/>
        </w:rPr>
        <w:t xml:space="preserve"> </w:t>
      </w:r>
      <w:r w:rsidRPr="005F55EC">
        <w:rPr>
          <w:sz w:val="22"/>
          <w:szCs w:val="22"/>
        </w:rPr>
        <w:t>are the backbone of the ACT test, a test used by many colleges and universities to ga</w:t>
      </w:r>
      <w:r w:rsidR="005F55EC" w:rsidRPr="005F55EC">
        <w:rPr>
          <w:sz w:val="22"/>
          <w:szCs w:val="22"/>
        </w:rPr>
        <w:t>u</w:t>
      </w:r>
      <w:r w:rsidRPr="005F55EC">
        <w:rPr>
          <w:sz w:val="22"/>
          <w:szCs w:val="22"/>
        </w:rPr>
        <w:t xml:space="preserve">ge the academic readiness of applicants.  </w:t>
      </w:r>
      <w:r w:rsidR="00E83E13" w:rsidRPr="005F55EC">
        <w:rPr>
          <w:sz w:val="22"/>
          <w:szCs w:val="22"/>
        </w:rPr>
        <w:t xml:space="preserve">The Standards include the essential skills and knowledge that students will need to be college and career ready.  </w:t>
      </w:r>
      <w:r w:rsidRPr="005F55EC">
        <w:rPr>
          <w:sz w:val="22"/>
          <w:szCs w:val="22"/>
        </w:rPr>
        <w:t>While your child will not l</w:t>
      </w:r>
      <w:r w:rsidR="00E83E13" w:rsidRPr="005F55EC">
        <w:rPr>
          <w:sz w:val="22"/>
          <w:szCs w:val="22"/>
        </w:rPr>
        <w:t>ikely take an official</w:t>
      </w:r>
      <w:r w:rsidRPr="005F55EC">
        <w:rPr>
          <w:sz w:val="22"/>
          <w:szCs w:val="22"/>
        </w:rPr>
        <w:t xml:space="preserve"> ACT until 11</w:t>
      </w:r>
      <w:r w:rsidRPr="005F55EC">
        <w:rPr>
          <w:sz w:val="22"/>
          <w:szCs w:val="22"/>
          <w:vertAlign w:val="superscript"/>
        </w:rPr>
        <w:t>th</w:t>
      </w:r>
      <w:r w:rsidRPr="005F55EC">
        <w:rPr>
          <w:sz w:val="22"/>
          <w:szCs w:val="22"/>
        </w:rPr>
        <w:t xml:space="preserve"> grade, </w:t>
      </w:r>
      <w:r w:rsidR="00E83E13" w:rsidRPr="005F55EC">
        <w:rPr>
          <w:sz w:val="22"/>
          <w:szCs w:val="22"/>
        </w:rPr>
        <w:t xml:space="preserve">we thought you would want to know how your child is performing now, while there is still time to change things, if necessary.  </w:t>
      </w:r>
    </w:p>
    <w:p w14:paraId="70BDD234" w14:textId="77777777" w:rsidR="00F8794E" w:rsidRPr="005F55EC" w:rsidRDefault="00F8794E" w:rsidP="00F8794E">
      <w:pPr>
        <w:rPr>
          <w:sz w:val="22"/>
          <w:szCs w:val="22"/>
        </w:rPr>
      </w:pPr>
    </w:p>
    <w:p w14:paraId="3D361578" w14:textId="77777777" w:rsidR="003D53D1" w:rsidRPr="005F55EC" w:rsidRDefault="003D53D1" w:rsidP="00F8794E">
      <w:pPr>
        <w:rPr>
          <w:b/>
          <w:sz w:val="22"/>
          <w:szCs w:val="22"/>
        </w:rPr>
      </w:pPr>
      <w:r w:rsidRPr="005F55EC">
        <w:rPr>
          <w:b/>
          <w:sz w:val="22"/>
          <w:szCs w:val="22"/>
        </w:rPr>
        <w:t>How does CERT work?</w:t>
      </w:r>
    </w:p>
    <w:p w14:paraId="5EE26ABE" w14:textId="3D1C605C" w:rsidR="00F8794E" w:rsidRPr="005F55EC" w:rsidRDefault="006220C7" w:rsidP="00F8794E">
      <w:pPr>
        <w:rPr>
          <w:sz w:val="22"/>
          <w:szCs w:val="22"/>
        </w:rPr>
      </w:pPr>
      <w:r w:rsidRPr="005F55EC">
        <w:rPr>
          <w:sz w:val="22"/>
          <w:szCs w:val="22"/>
        </w:rPr>
        <w:t>Up to three times per</w:t>
      </w:r>
      <w:r w:rsidR="00607A9E" w:rsidRPr="005F55EC">
        <w:rPr>
          <w:sz w:val="22"/>
          <w:szCs w:val="22"/>
        </w:rPr>
        <w:t xml:space="preserve"> school year, </w:t>
      </w:r>
      <w:r w:rsidR="003D53D1" w:rsidRPr="005F55EC">
        <w:rPr>
          <w:sz w:val="22"/>
          <w:szCs w:val="22"/>
        </w:rPr>
        <w:t>your child will</w:t>
      </w:r>
      <w:r w:rsidR="00607A9E" w:rsidRPr="005F55EC">
        <w:rPr>
          <w:sz w:val="22"/>
          <w:szCs w:val="22"/>
        </w:rPr>
        <w:t xml:space="preserve"> take an</w:t>
      </w:r>
      <w:r w:rsidR="00F8794E" w:rsidRPr="005F55EC">
        <w:rPr>
          <w:sz w:val="22"/>
          <w:szCs w:val="22"/>
        </w:rPr>
        <w:t xml:space="preserve"> ACT-like assessment</w:t>
      </w:r>
      <w:r w:rsidR="00607A9E" w:rsidRPr="005F55EC">
        <w:rPr>
          <w:sz w:val="22"/>
          <w:szCs w:val="22"/>
        </w:rPr>
        <w:t xml:space="preserve"> through CERT</w:t>
      </w:r>
      <w:r w:rsidR="00E83E13" w:rsidRPr="005F55EC">
        <w:rPr>
          <w:sz w:val="22"/>
          <w:szCs w:val="22"/>
        </w:rPr>
        <w:t>.  The results help us determine</w:t>
      </w:r>
      <w:r w:rsidR="00F8794E" w:rsidRPr="005F55EC">
        <w:rPr>
          <w:sz w:val="22"/>
          <w:szCs w:val="22"/>
        </w:rPr>
        <w:t xml:space="preserve"> </w:t>
      </w:r>
      <w:r w:rsidR="003D53D1" w:rsidRPr="005F55EC">
        <w:rPr>
          <w:sz w:val="22"/>
          <w:szCs w:val="22"/>
        </w:rPr>
        <w:t>your child’s strengths</w:t>
      </w:r>
      <w:r w:rsidR="00485283" w:rsidRPr="005F55EC">
        <w:rPr>
          <w:sz w:val="22"/>
          <w:szCs w:val="22"/>
        </w:rPr>
        <w:t xml:space="preserve"> and weaknesses </w:t>
      </w:r>
      <w:r w:rsidR="00E83E13" w:rsidRPr="005F55EC">
        <w:rPr>
          <w:sz w:val="22"/>
          <w:szCs w:val="22"/>
        </w:rPr>
        <w:t>with regard to the Standards in English, Mathematics, Reading, and Science</w:t>
      </w:r>
      <w:r w:rsidR="003D53D1" w:rsidRPr="005F55EC">
        <w:rPr>
          <w:sz w:val="22"/>
          <w:szCs w:val="22"/>
        </w:rPr>
        <w:t>.</w:t>
      </w:r>
      <w:r w:rsidR="00607A9E" w:rsidRPr="005F55EC">
        <w:rPr>
          <w:sz w:val="22"/>
          <w:szCs w:val="22"/>
        </w:rPr>
        <w:t xml:space="preserve">  With </w:t>
      </w:r>
      <w:r w:rsidR="00F8794E" w:rsidRPr="005F55EC">
        <w:rPr>
          <w:sz w:val="22"/>
          <w:szCs w:val="22"/>
        </w:rPr>
        <w:t xml:space="preserve">CERT’s detailed </w:t>
      </w:r>
      <w:r w:rsidRPr="005F55EC">
        <w:rPr>
          <w:sz w:val="22"/>
          <w:szCs w:val="22"/>
        </w:rPr>
        <w:t xml:space="preserve">assessment </w:t>
      </w:r>
      <w:r w:rsidR="00F8794E" w:rsidRPr="005F55EC">
        <w:rPr>
          <w:sz w:val="22"/>
          <w:szCs w:val="22"/>
        </w:rPr>
        <w:t>reports, we are able to p</w:t>
      </w:r>
      <w:r w:rsidR="00607A9E" w:rsidRPr="005F55EC">
        <w:rPr>
          <w:sz w:val="22"/>
          <w:szCs w:val="22"/>
        </w:rPr>
        <w:t>rovide the help and remediation your child needs as an individual</w:t>
      </w:r>
      <w:r w:rsidRPr="005F55EC">
        <w:rPr>
          <w:sz w:val="22"/>
          <w:szCs w:val="22"/>
        </w:rPr>
        <w:t xml:space="preserve">.  As a bonus, CERT offers teacher-controlled </w:t>
      </w:r>
      <w:r w:rsidR="00607A9E" w:rsidRPr="005F55EC">
        <w:rPr>
          <w:sz w:val="22"/>
          <w:szCs w:val="22"/>
        </w:rPr>
        <w:t xml:space="preserve">access to </w:t>
      </w:r>
      <w:r w:rsidRPr="005F55EC">
        <w:rPr>
          <w:sz w:val="22"/>
          <w:szCs w:val="22"/>
        </w:rPr>
        <w:t>educational videos that explain answers, review important subject matter, and offer sensible test-taking advice.  (</w:t>
      </w:r>
      <w:r w:rsidR="00573046" w:rsidRPr="005F55EC">
        <w:rPr>
          <w:sz w:val="22"/>
          <w:szCs w:val="22"/>
        </w:rPr>
        <w:t>Y</w:t>
      </w:r>
      <w:r w:rsidRPr="005F55EC">
        <w:rPr>
          <w:sz w:val="22"/>
          <w:szCs w:val="22"/>
        </w:rPr>
        <w:t>our child can access this video functionality at https://certforschools.com/</w:t>
      </w:r>
      <w:r w:rsidR="00607A9E" w:rsidRPr="005F55EC">
        <w:rPr>
          <w:sz w:val="22"/>
          <w:szCs w:val="22"/>
        </w:rPr>
        <w:t xml:space="preserve">).   We highly encourage your child to use this </w:t>
      </w:r>
      <w:r w:rsidR="00573046" w:rsidRPr="005F55EC">
        <w:rPr>
          <w:sz w:val="22"/>
          <w:szCs w:val="22"/>
        </w:rPr>
        <w:t xml:space="preserve">free </w:t>
      </w:r>
      <w:r w:rsidR="00607A9E" w:rsidRPr="005F55EC">
        <w:rPr>
          <w:sz w:val="22"/>
          <w:szCs w:val="22"/>
        </w:rPr>
        <w:t>onl</w:t>
      </w:r>
      <w:r w:rsidR="00573046" w:rsidRPr="005F55EC">
        <w:rPr>
          <w:sz w:val="22"/>
          <w:szCs w:val="22"/>
        </w:rPr>
        <w:t>ine resource</w:t>
      </w:r>
      <w:r w:rsidR="00607A9E" w:rsidRPr="005F55EC">
        <w:rPr>
          <w:sz w:val="22"/>
          <w:szCs w:val="22"/>
        </w:rPr>
        <w:t>.</w:t>
      </w:r>
    </w:p>
    <w:p w14:paraId="2F25E62C" w14:textId="77777777" w:rsidR="00607A9E" w:rsidRPr="005F55EC" w:rsidRDefault="00607A9E" w:rsidP="00F8794E">
      <w:pPr>
        <w:rPr>
          <w:sz w:val="22"/>
          <w:szCs w:val="22"/>
        </w:rPr>
      </w:pPr>
    </w:p>
    <w:p w14:paraId="5BFBF615" w14:textId="2FCF6D1E" w:rsidR="00607A9E" w:rsidRPr="005F55EC" w:rsidRDefault="00573046" w:rsidP="00F8794E">
      <w:pPr>
        <w:rPr>
          <w:b/>
          <w:sz w:val="22"/>
          <w:szCs w:val="22"/>
          <w:u w:val="wave"/>
        </w:rPr>
      </w:pPr>
      <w:r w:rsidRPr="005F55EC">
        <w:rPr>
          <w:b/>
          <w:sz w:val="22"/>
          <w:szCs w:val="22"/>
          <w:u w:val="wave"/>
        </w:rPr>
        <w:t>Understanding Your Child’s</w:t>
      </w:r>
      <w:r w:rsidR="00607A9E" w:rsidRPr="005F55EC">
        <w:rPr>
          <w:b/>
          <w:sz w:val="22"/>
          <w:szCs w:val="22"/>
          <w:u w:val="wave"/>
        </w:rPr>
        <w:t xml:space="preserve"> Course Report</w:t>
      </w:r>
    </w:p>
    <w:p w14:paraId="6C1C6422" w14:textId="03DF65C7" w:rsidR="008C381F" w:rsidRPr="005F55EC" w:rsidRDefault="00573046" w:rsidP="008C381F">
      <w:pPr>
        <w:rPr>
          <w:sz w:val="22"/>
          <w:szCs w:val="22"/>
        </w:rPr>
      </w:pPr>
      <w:r w:rsidRPr="005F55EC">
        <w:rPr>
          <w:sz w:val="22"/>
          <w:szCs w:val="22"/>
        </w:rPr>
        <w:t>The</w:t>
      </w:r>
      <w:r w:rsidR="00607A9E" w:rsidRPr="005F55EC">
        <w:rPr>
          <w:sz w:val="22"/>
          <w:szCs w:val="22"/>
        </w:rPr>
        <w:t xml:space="preserve"> Cours</w:t>
      </w:r>
      <w:r w:rsidRPr="005F55EC">
        <w:rPr>
          <w:sz w:val="22"/>
          <w:szCs w:val="22"/>
        </w:rPr>
        <w:t>e Report enclosed with this letter provides</w:t>
      </w:r>
      <w:r w:rsidR="00817990" w:rsidRPr="005F55EC">
        <w:rPr>
          <w:sz w:val="22"/>
          <w:szCs w:val="22"/>
        </w:rPr>
        <w:t xml:space="preserve">, among other things, a score in each of the four subject areas tested.  To understand how your child currently stacks up against the Standards, you should compare your child’s score to the benchmark scores (the “Benchmarks”) in each of the four subject areas. </w:t>
      </w:r>
      <w:r w:rsidRPr="005F55EC">
        <w:rPr>
          <w:sz w:val="22"/>
          <w:szCs w:val="22"/>
        </w:rPr>
        <w:t xml:space="preserve"> </w:t>
      </w:r>
      <w:r w:rsidR="00817990" w:rsidRPr="005F55EC">
        <w:rPr>
          <w:sz w:val="22"/>
          <w:szCs w:val="22"/>
        </w:rPr>
        <w:t>The Benchmarks</w:t>
      </w:r>
      <w:r w:rsidR="008C381F" w:rsidRPr="005F55EC">
        <w:rPr>
          <w:sz w:val="22"/>
          <w:szCs w:val="22"/>
        </w:rPr>
        <w:t xml:space="preserve"> represent the level of achievement required for students to have a 50% chance of obtaining a B or higher</w:t>
      </w:r>
      <w:r w:rsidR="00817990" w:rsidRPr="005F55EC">
        <w:rPr>
          <w:sz w:val="22"/>
          <w:szCs w:val="22"/>
        </w:rPr>
        <w:t>,</w:t>
      </w:r>
      <w:r w:rsidR="008C381F" w:rsidRPr="005F55EC">
        <w:rPr>
          <w:sz w:val="22"/>
          <w:szCs w:val="22"/>
        </w:rPr>
        <w:t xml:space="preserve"> or about a 75% chance of obtaining a C or higher</w:t>
      </w:r>
      <w:r w:rsidR="00817990" w:rsidRPr="005F55EC">
        <w:rPr>
          <w:sz w:val="22"/>
          <w:szCs w:val="22"/>
        </w:rPr>
        <w:t>,</w:t>
      </w:r>
      <w:r w:rsidR="008C381F" w:rsidRPr="005F55EC">
        <w:rPr>
          <w:sz w:val="22"/>
          <w:szCs w:val="22"/>
        </w:rPr>
        <w:t xml:space="preserve"> in </w:t>
      </w:r>
      <w:r w:rsidR="00817990" w:rsidRPr="005F55EC">
        <w:rPr>
          <w:sz w:val="22"/>
          <w:szCs w:val="22"/>
        </w:rPr>
        <w:t xml:space="preserve">a </w:t>
      </w:r>
      <w:r w:rsidR="008C381F" w:rsidRPr="005F55EC">
        <w:rPr>
          <w:sz w:val="22"/>
          <w:szCs w:val="22"/>
        </w:rPr>
        <w:t>corresponding credit-be</w:t>
      </w:r>
      <w:r w:rsidR="00817990" w:rsidRPr="005F55EC">
        <w:rPr>
          <w:sz w:val="22"/>
          <w:szCs w:val="22"/>
        </w:rPr>
        <w:t>aring first-year college course</w:t>
      </w:r>
      <w:r w:rsidR="008C381F" w:rsidRPr="005F55EC">
        <w:rPr>
          <w:sz w:val="22"/>
          <w:szCs w:val="22"/>
        </w:rPr>
        <w:t>.</w:t>
      </w:r>
      <w:r w:rsidRPr="005F55EC">
        <w:rPr>
          <w:sz w:val="22"/>
          <w:szCs w:val="22"/>
        </w:rPr>
        <w:t xml:space="preserve"> The Course Report also includes an estimated ACT composite range to help you predict how well your child is likel</w:t>
      </w:r>
      <w:r w:rsidR="00817990" w:rsidRPr="005F55EC">
        <w:rPr>
          <w:sz w:val="22"/>
          <w:szCs w:val="22"/>
        </w:rPr>
        <w:t>y to do on the</w:t>
      </w:r>
      <w:r w:rsidRPr="005F55EC">
        <w:rPr>
          <w:sz w:val="22"/>
          <w:szCs w:val="22"/>
        </w:rPr>
        <w:t xml:space="preserve"> “real” ACT in 11</w:t>
      </w:r>
      <w:r w:rsidRPr="005F55EC">
        <w:rPr>
          <w:sz w:val="22"/>
          <w:szCs w:val="22"/>
          <w:vertAlign w:val="superscript"/>
        </w:rPr>
        <w:t>th</w:t>
      </w:r>
      <w:r w:rsidRPr="005F55EC">
        <w:rPr>
          <w:sz w:val="22"/>
          <w:szCs w:val="22"/>
        </w:rPr>
        <w:t xml:space="preserve"> grade.   </w:t>
      </w:r>
      <w:r w:rsidR="00284CB4">
        <w:rPr>
          <w:sz w:val="22"/>
          <w:szCs w:val="22"/>
        </w:rPr>
        <w:t>Kentucky has established different state benchmarks for accountability, known as Council on Postsecondary Education (CPE) benchmarks.</w:t>
      </w:r>
    </w:p>
    <w:p w14:paraId="183A6AC2" w14:textId="77777777" w:rsidR="00EC27B8" w:rsidRPr="005F55EC" w:rsidRDefault="00EC27B8" w:rsidP="00F8794E">
      <w:pPr>
        <w:rPr>
          <w:sz w:val="22"/>
          <w:szCs w:val="22"/>
        </w:rPr>
      </w:pPr>
    </w:p>
    <w:tbl>
      <w:tblPr>
        <w:tblW w:w="6162" w:type="dxa"/>
        <w:tblCellSpacing w:w="15" w:type="dxa"/>
        <w:tblCellMar>
          <w:top w:w="15" w:type="dxa"/>
          <w:left w:w="15" w:type="dxa"/>
          <w:bottom w:w="15" w:type="dxa"/>
          <w:right w:w="15" w:type="dxa"/>
        </w:tblCellMar>
        <w:tblLook w:val="04A0" w:firstRow="1" w:lastRow="0" w:firstColumn="1" w:lastColumn="0" w:noHBand="0" w:noVBand="1"/>
      </w:tblPr>
      <w:tblGrid>
        <w:gridCol w:w="1886"/>
        <w:gridCol w:w="2072"/>
        <w:gridCol w:w="2204"/>
      </w:tblGrid>
      <w:tr w:rsidR="00436E60" w:rsidRPr="005F55EC" w14:paraId="76AC300C" w14:textId="3C22AA68" w:rsidTr="00436E60">
        <w:trPr>
          <w:tblCellSpacing w:w="15" w:type="dxa"/>
        </w:trPr>
        <w:tc>
          <w:tcPr>
            <w:tcW w:w="0" w:type="auto"/>
            <w:tcBorders>
              <w:left w:val="single" w:sz="6" w:space="0" w:color="E7E3D2"/>
            </w:tcBorders>
            <w:shd w:val="clear" w:color="auto" w:fill="auto"/>
            <w:tcMar>
              <w:top w:w="120" w:type="dxa"/>
              <w:left w:w="120" w:type="dxa"/>
              <w:bottom w:w="120" w:type="dxa"/>
              <w:right w:w="120" w:type="dxa"/>
            </w:tcMar>
            <w:hideMark/>
          </w:tcPr>
          <w:p w14:paraId="141E5871" w14:textId="77777777" w:rsidR="00436E60" w:rsidRPr="005F55EC" w:rsidRDefault="00436E60" w:rsidP="00420696">
            <w:pPr>
              <w:rPr>
                <w:b/>
                <w:sz w:val="22"/>
                <w:szCs w:val="22"/>
              </w:rPr>
            </w:pPr>
            <w:r w:rsidRPr="005F55EC">
              <w:rPr>
                <w:b/>
                <w:sz w:val="22"/>
                <w:szCs w:val="22"/>
              </w:rPr>
              <w:t>ACT Subject-Area Test</w:t>
            </w:r>
          </w:p>
        </w:tc>
        <w:tc>
          <w:tcPr>
            <w:tcW w:w="0" w:type="auto"/>
            <w:tcBorders>
              <w:left w:val="single" w:sz="6" w:space="0" w:color="E7E3D2"/>
            </w:tcBorders>
            <w:shd w:val="clear" w:color="auto" w:fill="auto"/>
            <w:tcMar>
              <w:top w:w="120" w:type="dxa"/>
              <w:left w:w="120" w:type="dxa"/>
              <w:bottom w:w="120" w:type="dxa"/>
              <w:right w:w="120" w:type="dxa"/>
            </w:tcMar>
            <w:hideMark/>
          </w:tcPr>
          <w:p w14:paraId="34492F66" w14:textId="49213E2A" w:rsidR="00436E60" w:rsidRPr="005F55EC" w:rsidRDefault="00436E60" w:rsidP="00420696">
            <w:pPr>
              <w:rPr>
                <w:b/>
                <w:sz w:val="22"/>
                <w:szCs w:val="22"/>
              </w:rPr>
            </w:pPr>
            <w:r>
              <w:rPr>
                <w:b/>
                <w:sz w:val="22"/>
                <w:szCs w:val="22"/>
              </w:rPr>
              <w:t>ACT National Benchmarks</w:t>
            </w:r>
          </w:p>
        </w:tc>
        <w:tc>
          <w:tcPr>
            <w:tcW w:w="0" w:type="auto"/>
            <w:tcBorders>
              <w:left w:val="single" w:sz="6" w:space="0" w:color="E7E3D2"/>
            </w:tcBorders>
          </w:tcPr>
          <w:p w14:paraId="18F03093" w14:textId="27028524" w:rsidR="00436E60" w:rsidRDefault="00436E60" w:rsidP="00420696">
            <w:pPr>
              <w:rPr>
                <w:b/>
                <w:sz w:val="22"/>
                <w:szCs w:val="22"/>
              </w:rPr>
            </w:pPr>
            <w:r>
              <w:rPr>
                <w:b/>
                <w:sz w:val="22"/>
                <w:szCs w:val="22"/>
              </w:rPr>
              <w:t>Kentucky’s ACT Benchmarks (CPE)</w:t>
            </w:r>
          </w:p>
        </w:tc>
      </w:tr>
      <w:tr w:rsidR="00436E60" w:rsidRPr="005F55EC" w14:paraId="6EB9D2DF" w14:textId="5184343E" w:rsidTr="00436E60">
        <w:trPr>
          <w:tblCellSpacing w:w="15" w:type="dxa"/>
        </w:trPr>
        <w:tc>
          <w:tcPr>
            <w:tcW w:w="0" w:type="auto"/>
            <w:tcBorders>
              <w:left w:val="nil"/>
            </w:tcBorders>
            <w:shd w:val="clear" w:color="auto" w:fill="auto"/>
            <w:tcMar>
              <w:top w:w="120" w:type="dxa"/>
              <w:left w:w="120" w:type="dxa"/>
              <w:bottom w:w="120" w:type="dxa"/>
              <w:right w:w="120" w:type="dxa"/>
            </w:tcMar>
            <w:hideMark/>
          </w:tcPr>
          <w:p w14:paraId="46BC2DF3" w14:textId="77777777" w:rsidR="00436E60" w:rsidRPr="005F55EC" w:rsidRDefault="00436E60" w:rsidP="00420696">
            <w:pPr>
              <w:rPr>
                <w:sz w:val="22"/>
                <w:szCs w:val="22"/>
              </w:rPr>
            </w:pPr>
            <w:r w:rsidRPr="005F55EC">
              <w:rPr>
                <w:sz w:val="22"/>
                <w:szCs w:val="22"/>
              </w:rPr>
              <w:t xml:space="preserve">English </w:t>
            </w:r>
          </w:p>
        </w:tc>
        <w:tc>
          <w:tcPr>
            <w:tcW w:w="0" w:type="auto"/>
            <w:tcBorders>
              <w:left w:val="single" w:sz="6" w:space="0" w:color="E7E3D2"/>
            </w:tcBorders>
            <w:shd w:val="clear" w:color="auto" w:fill="auto"/>
            <w:tcMar>
              <w:top w:w="120" w:type="dxa"/>
              <w:left w:w="120" w:type="dxa"/>
              <w:bottom w:w="120" w:type="dxa"/>
              <w:right w:w="120" w:type="dxa"/>
            </w:tcMar>
            <w:hideMark/>
          </w:tcPr>
          <w:p w14:paraId="5823C142" w14:textId="77777777" w:rsidR="00436E60" w:rsidRPr="005F55EC" w:rsidRDefault="00436E60" w:rsidP="00420696">
            <w:pPr>
              <w:rPr>
                <w:sz w:val="22"/>
                <w:szCs w:val="22"/>
              </w:rPr>
            </w:pPr>
            <w:r w:rsidRPr="005F55EC">
              <w:rPr>
                <w:sz w:val="22"/>
                <w:szCs w:val="22"/>
              </w:rPr>
              <w:t>18</w:t>
            </w:r>
          </w:p>
        </w:tc>
        <w:tc>
          <w:tcPr>
            <w:tcW w:w="0" w:type="auto"/>
            <w:tcBorders>
              <w:left w:val="single" w:sz="6" w:space="0" w:color="E7E3D2"/>
            </w:tcBorders>
          </w:tcPr>
          <w:p w14:paraId="57D51B3E" w14:textId="26BA8BDF" w:rsidR="00436E60" w:rsidRPr="005F55EC" w:rsidRDefault="00436E60" w:rsidP="00420696">
            <w:pPr>
              <w:rPr>
                <w:sz w:val="22"/>
                <w:szCs w:val="22"/>
              </w:rPr>
            </w:pPr>
            <w:r w:rsidRPr="005F55EC">
              <w:rPr>
                <w:sz w:val="22"/>
                <w:szCs w:val="22"/>
              </w:rPr>
              <w:t>1</w:t>
            </w:r>
            <w:r>
              <w:rPr>
                <w:sz w:val="22"/>
                <w:szCs w:val="22"/>
              </w:rPr>
              <w:t>8</w:t>
            </w:r>
          </w:p>
        </w:tc>
      </w:tr>
      <w:tr w:rsidR="00436E60" w:rsidRPr="005F55EC" w14:paraId="6920DD36" w14:textId="258308DE" w:rsidTr="00436E60">
        <w:trPr>
          <w:tblCellSpacing w:w="15" w:type="dxa"/>
        </w:trPr>
        <w:tc>
          <w:tcPr>
            <w:tcW w:w="0" w:type="auto"/>
            <w:tcBorders>
              <w:left w:val="nil"/>
            </w:tcBorders>
            <w:shd w:val="clear" w:color="auto" w:fill="auto"/>
            <w:tcMar>
              <w:top w:w="120" w:type="dxa"/>
              <w:left w:w="120" w:type="dxa"/>
              <w:bottom w:w="120" w:type="dxa"/>
              <w:right w:w="120" w:type="dxa"/>
            </w:tcMar>
            <w:hideMark/>
          </w:tcPr>
          <w:p w14:paraId="69DBA34E" w14:textId="77777777" w:rsidR="00436E60" w:rsidRPr="005F55EC" w:rsidRDefault="00436E60" w:rsidP="00420696">
            <w:pPr>
              <w:rPr>
                <w:sz w:val="22"/>
                <w:szCs w:val="22"/>
              </w:rPr>
            </w:pPr>
            <w:r w:rsidRPr="005F55EC">
              <w:rPr>
                <w:sz w:val="22"/>
                <w:szCs w:val="22"/>
              </w:rPr>
              <w:t>Mathematics</w:t>
            </w:r>
          </w:p>
        </w:tc>
        <w:tc>
          <w:tcPr>
            <w:tcW w:w="0" w:type="auto"/>
            <w:tcBorders>
              <w:left w:val="single" w:sz="6" w:space="0" w:color="E7E3D2"/>
            </w:tcBorders>
            <w:shd w:val="clear" w:color="auto" w:fill="auto"/>
            <w:tcMar>
              <w:top w:w="120" w:type="dxa"/>
              <w:left w:w="120" w:type="dxa"/>
              <w:bottom w:w="120" w:type="dxa"/>
              <w:right w:w="120" w:type="dxa"/>
            </w:tcMar>
            <w:hideMark/>
          </w:tcPr>
          <w:p w14:paraId="7B6B9430" w14:textId="2A3B0717" w:rsidR="00436E60" w:rsidRPr="005F55EC" w:rsidRDefault="00436E60" w:rsidP="00420696">
            <w:pPr>
              <w:rPr>
                <w:sz w:val="22"/>
                <w:szCs w:val="22"/>
              </w:rPr>
            </w:pPr>
            <w:r>
              <w:rPr>
                <w:sz w:val="22"/>
                <w:szCs w:val="22"/>
              </w:rPr>
              <w:t>22</w:t>
            </w:r>
          </w:p>
        </w:tc>
        <w:tc>
          <w:tcPr>
            <w:tcW w:w="0" w:type="auto"/>
            <w:tcBorders>
              <w:left w:val="single" w:sz="6" w:space="0" w:color="E7E3D2"/>
            </w:tcBorders>
          </w:tcPr>
          <w:p w14:paraId="2EF80358" w14:textId="5D94C306" w:rsidR="00436E60" w:rsidRDefault="00436E60" w:rsidP="00420696">
            <w:pPr>
              <w:rPr>
                <w:sz w:val="22"/>
                <w:szCs w:val="22"/>
              </w:rPr>
            </w:pPr>
            <w:r w:rsidRPr="005F55EC">
              <w:rPr>
                <w:sz w:val="22"/>
                <w:szCs w:val="22"/>
              </w:rPr>
              <w:t>19</w:t>
            </w:r>
          </w:p>
        </w:tc>
      </w:tr>
      <w:tr w:rsidR="00436E60" w:rsidRPr="005F55EC" w14:paraId="300BE380" w14:textId="7BA50083" w:rsidTr="00436E60">
        <w:trPr>
          <w:tblCellSpacing w:w="15" w:type="dxa"/>
        </w:trPr>
        <w:tc>
          <w:tcPr>
            <w:tcW w:w="0" w:type="auto"/>
            <w:tcBorders>
              <w:left w:val="nil"/>
            </w:tcBorders>
            <w:shd w:val="clear" w:color="auto" w:fill="auto"/>
            <w:tcMar>
              <w:top w:w="120" w:type="dxa"/>
              <w:left w:w="120" w:type="dxa"/>
              <w:bottom w:w="120" w:type="dxa"/>
              <w:right w:w="120" w:type="dxa"/>
            </w:tcMar>
            <w:hideMark/>
          </w:tcPr>
          <w:p w14:paraId="2CD3507D" w14:textId="77777777" w:rsidR="00436E60" w:rsidRPr="005F55EC" w:rsidRDefault="00436E60" w:rsidP="00420696">
            <w:pPr>
              <w:rPr>
                <w:sz w:val="22"/>
                <w:szCs w:val="22"/>
              </w:rPr>
            </w:pPr>
            <w:r w:rsidRPr="005F55EC">
              <w:rPr>
                <w:sz w:val="22"/>
                <w:szCs w:val="22"/>
              </w:rPr>
              <w:t xml:space="preserve">Reading </w:t>
            </w:r>
          </w:p>
        </w:tc>
        <w:tc>
          <w:tcPr>
            <w:tcW w:w="0" w:type="auto"/>
            <w:tcBorders>
              <w:left w:val="single" w:sz="6" w:space="0" w:color="E7E3D2"/>
            </w:tcBorders>
            <w:shd w:val="clear" w:color="auto" w:fill="auto"/>
            <w:tcMar>
              <w:top w:w="120" w:type="dxa"/>
              <w:left w:w="120" w:type="dxa"/>
              <w:bottom w:w="120" w:type="dxa"/>
              <w:right w:w="120" w:type="dxa"/>
            </w:tcMar>
            <w:hideMark/>
          </w:tcPr>
          <w:p w14:paraId="04FE6F99" w14:textId="5104E840" w:rsidR="00436E60" w:rsidRPr="005F55EC" w:rsidRDefault="00436E60" w:rsidP="00420696">
            <w:pPr>
              <w:rPr>
                <w:sz w:val="22"/>
                <w:szCs w:val="22"/>
              </w:rPr>
            </w:pPr>
            <w:r w:rsidRPr="005F55EC">
              <w:rPr>
                <w:sz w:val="22"/>
                <w:szCs w:val="22"/>
              </w:rPr>
              <w:t>2</w:t>
            </w:r>
            <w:r>
              <w:rPr>
                <w:sz w:val="22"/>
                <w:szCs w:val="22"/>
              </w:rPr>
              <w:t>2</w:t>
            </w:r>
          </w:p>
        </w:tc>
        <w:tc>
          <w:tcPr>
            <w:tcW w:w="0" w:type="auto"/>
            <w:tcBorders>
              <w:left w:val="single" w:sz="6" w:space="0" w:color="E7E3D2"/>
            </w:tcBorders>
          </w:tcPr>
          <w:p w14:paraId="04118E9D" w14:textId="2F0AB54B" w:rsidR="00436E60" w:rsidRPr="005F55EC" w:rsidRDefault="00436E60" w:rsidP="00420696">
            <w:pPr>
              <w:rPr>
                <w:sz w:val="22"/>
                <w:szCs w:val="22"/>
              </w:rPr>
            </w:pPr>
            <w:r>
              <w:rPr>
                <w:sz w:val="22"/>
                <w:szCs w:val="22"/>
              </w:rPr>
              <w:t>20</w:t>
            </w:r>
          </w:p>
        </w:tc>
      </w:tr>
      <w:tr w:rsidR="00436E60" w:rsidRPr="005F55EC" w14:paraId="61CEAB65" w14:textId="3098DB9A" w:rsidTr="00436E60">
        <w:trPr>
          <w:tblCellSpacing w:w="15" w:type="dxa"/>
        </w:trPr>
        <w:tc>
          <w:tcPr>
            <w:tcW w:w="0" w:type="auto"/>
            <w:tcBorders>
              <w:left w:val="nil"/>
            </w:tcBorders>
            <w:shd w:val="clear" w:color="auto" w:fill="auto"/>
            <w:tcMar>
              <w:top w:w="120" w:type="dxa"/>
              <w:left w:w="120" w:type="dxa"/>
              <w:bottom w:w="120" w:type="dxa"/>
              <w:right w:w="120" w:type="dxa"/>
            </w:tcMar>
            <w:hideMark/>
          </w:tcPr>
          <w:p w14:paraId="532371B4" w14:textId="77777777" w:rsidR="00436E60" w:rsidRPr="005F55EC" w:rsidRDefault="00436E60" w:rsidP="00420696">
            <w:pPr>
              <w:rPr>
                <w:sz w:val="22"/>
                <w:szCs w:val="22"/>
              </w:rPr>
            </w:pPr>
            <w:r w:rsidRPr="005F55EC">
              <w:rPr>
                <w:sz w:val="22"/>
                <w:szCs w:val="22"/>
              </w:rPr>
              <w:t>Science</w:t>
            </w:r>
          </w:p>
        </w:tc>
        <w:tc>
          <w:tcPr>
            <w:tcW w:w="0" w:type="auto"/>
            <w:tcBorders>
              <w:left w:val="single" w:sz="6" w:space="0" w:color="E7E3D2"/>
            </w:tcBorders>
            <w:shd w:val="clear" w:color="auto" w:fill="auto"/>
            <w:tcMar>
              <w:top w:w="120" w:type="dxa"/>
              <w:left w:w="120" w:type="dxa"/>
              <w:bottom w:w="120" w:type="dxa"/>
              <w:right w:w="120" w:type="dxa"/>
            </w:tcMar>
            <w:hideMark/>
          </w:tcPr>
          <w:p w14:paraId="20907B15" w14:textId="77777777" w:rsidR="00436E60" w:rsidRPr="005F55EC" w:rsidRDefault="00436E60" w:rsidP="00420696">
            <w:pPr>
              <w:rPr>
                <w:sz w:val="22"/>
                <w:szCs w:val="22"/>
              </w:rPr>
            </w:pPr>
            <w:r w:rsidRPr="005F55EC">
              <w:rPr>
                <w:sz w:val="22"/>
                <w:szCs w:val="22"/>
              </w:rPr>
              <w:t>23</w:t>
            </w:r>
          </w:p>
        </w:tc>
        <w:tc>
          <w:tcPr>
            <w:tcW w:w="0" w:type="auto"/>
            <w:tcBorders>
              <w:left w:val="single" w:sz="6" w:space="0" w:color="E7E3D2"/>
            </w:tcBorders>
          </w:tcPr>
          <w:p w14:paraId="732D701E" w14:textId="48D9B83E" w:rsidR="00436E60" w:rsidRPr="005F55EC" w:rsidRDefault="00436E60" w:rsidP="00420696">
            <w:pPr>
              <w:rPr>
                <w:sz w:val="22"/>
                <w:szCs w:val="22"/>
              </w:rPr>
            </w:pPr>
            <w:r>
              <w:rPr>
                <w:sz w:val="22"/>
                <w:szCs w:val="22"/>
              </w:rPr>
              <w:t>n/a</w:t>
            </w:r>
          </w:p>
        </w:tc>
      </w:tr>
    </w:tbl>
    <w:p w14:paraId="122B2B94" w14:textId="77777777" w:rsidR="00EC27B8" w:rsidRPr="005F55EC" w:rsidRDefault="00EC27B8" w:rsidP="000E78FB">
      <w:pPr>
        <w:rPr>
          <w:sz w:val="22"/>
          <w:szCs w:val="22"/>
        </w:rPr>
      </w:pPr>
    </w:p>
    <w:sectPr w:rsidR="00EC27B8" w:rsidRPr="005F55EC" w:rsidSect="000E78FB">
      <w:headerReference w:type="even" r:id="rId7"/>
      <w:headerReference w:type="default" r:id="rId8"/>
      <w:footerReference w:type="even" r:id="rId9"/>
      <w:footerReference w:type="default" r:id="rId10"/>
      <w:headerReference w:type="first" r:id="rId11"/>
      <w:footerReference w:type="first" r:id="rId12"/>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9BDF" w14:textId="77777777" w:rsidR="0015642D" w:rsidRDefault="0015642D" w:rsidP="00EC4A9E">
      <w:r>
        <w:separator/>
      </w:r>
    </w:p>
  </w:endnote>
  <w:endnote w:type="continuationSeparator" w:id="0">
    <w:p w14:paraId="4BA85828" w14:textId="77777777" w:rsidR="0015642D" w:rsidRDefault="0015642D" w:rsidP="00EC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93E5" w14:textId="77777777" w:rsidR="00295051" w:rsidRDefault="0029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0894" w14:textId="77777777" w:rsidR="00295051" w:rsidRDefault="00295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E6C" w14:textId="77777777" w:rsidR="00295051" w:rsidRDefault="0029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AE86" w14:textId="77777777" w:rsidR="0015642D" w:rsidRDefault="0015642D" w:rsidP="00EC4A9E">
      <w:r>
        <w:separator/>
      </w:r>
    </w:p>
  </w:footnote>
  <w:footnote w:type="continuationSeparator" w:id="0">
    <w:p w14:paraId="2AB8144E" w14:textId="77777777" w:rsidR="0015642D" w:rsidRDefault="0015642D" w:rsidP="00EC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2CB0" w14:textId="77777777" w:rsidR="00295051" w:rsidRDefault="0015642D">
    <w:pPr>
      <w:pStyle w:val="Header"/>
    </w:pPr>
    <w:r>
      <w:rPr>
        <w:noProof/>
      </w:rPr>
      <w:pict w14:anchorId="5C725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in;height:199.9pt;z-index:-251657216;mso-wrap-edited:f;mso-position-horizontal:center;mso-position-horizontal-relative:margin;mso-position-vertical:center;mso-position-vertical-relative:margin" wrapcoords="18289 323 17389 728 17100 1051 17100 1617 17742 4125 18128 4206 18128 4287 18417 5501 2571 5501 835 5582 771 6795 642 7200 417 7928 192 9384 128 11002 192 12053 289 13267 514 14480 1028 15775 1189 15856 1189 16503 9417 17069 225 17150 192 18202 964 18525 321 18606 321 20305 450 20952 546 21114 3117 21438 3439 21438 9064 21438 10157 21438 19767 21114 19767 20629 19639 19739 19639 18525 19992 18364 20217 17150 20314 15775 20378 14561 20346 13267 20185 11406 19928 9384 20603 9303 21246 8737 21214 8089 21150 7928 20989 7361 20732 6633 20217 5662 20057 5258 18578 4206 18514 2831 19125 1779 19125 1617 18996 404 18996 323 18289 323">
          <v:imagedata r:id="rId1" o:title="logo-log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9732" w14:textId="77777777" w:rsidR="00295051" w:rsidRDefault="0015642D">
    <w:pPr>
      <w:pStyle w:val="Header"/>
    </w:pPr>
    <w:r>
      <w:rPr>
        <w:noProof/>
      </w:rPr>
      <w:pict w14:anchorId="2A1B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7in;height:199.9pt;z-index:-251658240;mso-wrap-edited:f;mso-position-horizontal:center;mso-position-horizontal-relative:margin;mso-position-vertical:center;mso-position-vertical-relative:margin" wrapcoords="18289 323 17389 728 17100 1051 17100 1617 17742 4125 18128 4206 18128 4287 18417 5501 2571 5501 835 5582 771 6795 642 7200 417 7928 192 9384 128 11002 192 12053 289 13267 514 14480 1028 15775 1189 15856 1189 16503 9417 17069 225 17150 192 18202 964 18525 321 18606 321 20305 450 20952 546 21114 3117 21438 3439 21438 9064 21438 10157 21438 19767 21114 19767 20629 19639 19739 19639 18525 19992 18364 20217 17150 20314 15775 20378 14561 20346 13267 20185 11406 19928 9384 20603 9303 21246 8737 21214 8089 21150 7928 20989 7361 20732 6633 20217 5662 20057 5258 18578 4206 18514 2831 19125 1779 19125 1617 18996 404 18996 323 18289 323">
          <v:imagedata r:id="rId1" o:title="logo-log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955B" w14:textId="77777777" w:rsidR="00295051" w:rsidRDefault="0015642D">
    <w:pPr>
      <w:pStyle w:val="Header"/>
    </w:pPr>
    <w:r>
      <w:rPr>
        <w:noProof/>
      </w:rPr>
      <w:pict w14:anchorId="6B74B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in;height:199.9pt;z-index:-251656192;mso-wrap-edited:f;mso-position-horizontal:center;mso-position-horizontal-relative:margin;mso-position-vertical:center;mso-position-vertical-relative:margin" wrapcoords="18289 323 17389 728 17100 1051 17100 1617 17742 4125 18128 4206 18128 4287 18417 5501 2571 5501 835 5582 771 6795 642 7200 417 7928 192 9384 128 11002 192 12053 289 13267 514 14480 1028 15775 1189 15856 1189 16503 9417 17069 225 17150 192 18202 964 18525 321 18606 321 20305 450 20952 546 21114 3117 21438 3439 21438 9064 21438 10157 21438 19767 21114 19767 20629 19639 19739 19639 18525 19992 18364 20217 17150 20314 15775 20378 14561 20346 13267 20185 11406 19928 9384 20603 9303 21246 8737 21214 8089 21150 7928 20989 7361 20732 6633 20217 5662 20057 5258 18578 4206 18514 2831 19125 1779 19125 1617 18996 404 18996 323 18289 323">
          <v:imagedata r:id="rId1" o:title="logo-log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300"/>
    <w:multiLevelType w:val="multilevel"/>
    <w:tmpl w:val="4310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E2FA2"/>
    <w:multiLevelType w:val="multilevel"/>
    <w:tmpl w:val="2B82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31D96"/>
    <w:multiLevelType w:val="multilevel"/>
    <w:tmpl w:val="60D8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51DCE"/>
    <w:multiLevelType w:val="multilevel"/>
    <w:tmpl w:val="51A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54497"/>
    <w:multiLevelType w:val="multilevel"/>
    <w:tmpl w:val="2FE6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B0591"/>
    <w:multiLevelType w:val="multilevel"/>
    <w:tmpl w:val="5326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4E"/>
    <w:rsid w:val="00060E09"/>
    <w:rsid w:val="00080077"/>
    <w:rsid w:val="000E78FB"/>
    <w:rsid w:val="001547BF"/>
    <w:rsid w:val="0015642D"/>
    <w:rsid w:val="00284CB4"/>
    <w:rsid w:val="00295051"/>
    <w:rsid w:val="003D53D1"/>
    <w:rsid w:val="00420696"/>
    <w:rsid w:val="00436E60"/>
    <w:rsid w:val="00485283"/>
    <w:rsid w:val="004C149E"/>
    <w:rsid w:val="004F69A0"/>
    <w:rsid w:val="00573046"/>
    <w:rsid w:val="005D1FCD"/>
    <w:rsid w:val="005F55EC"/>
    <w:rsid w:val="00607A9E"/>
    <w:rsid w:val="006220C7"/>
    <w:rsid w:val="00817990"/>
    <w:rsid w:val="008C381F"/>
    <w:rsid w:val="009664A2"/>
    <w:rsid w:val="00B010AE"/>
    <w:rsid w:val="00B56ABD"/>
    <w:rsid w:val="00D2214D"/>
    <w:rsid w:val="00DC7DAE"/>
    <w:rsid w:val="00E53E13"/>
    <w:rsid w:val="00E63EE3"/>
    <w:rsid w:val="00E803A2"/>
    <w:rsid w:val="00E83E13"/>
    <w:rsid w:val="00EC27B8"/>
    <w:rsid w:val="00EC4A9E"/>
    <w:rsid w:val="00EE32B0"/>
    <w:rsid w:val="00F247D1"/>
    <w:rsid w:val="00F8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E5F724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42069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3A2"/>
    <w:rPr>
      <w:rFonts w:ascii="Lucida Grande" w:hAnsi="Lucida Grande"/>
      <w:sz w:val="18"/>
      <w:szCs w:val="18"/>
    </w:rPr>
  </w:style>
  <w:style w:type="character" w:customStyle="1" w:styleId="BalloonTextChar">
    <w:name w:val="Balloon Text Char"/>
    <w:basedOn w:val="DefaultParagraphFont"/>
    <w:link w:val="BalloonText"/>
    <w:uiPriority w:val="99"/>
    <w:semiHidden/>
    <w:rsid w:val="00E803A2"/>
    <w:rPr>
      <w:rFonts w:ascii="Lucida Grande" w:hAnsi="Lucida Grande"/>
      <w:sz w:val="18"/>
      <w:szCs w:val="18"/>
    </w:rPr>
  </w:style>
  <w:style w:type="character" w:styleId="Hyperlink">
    <w:name w:val="Hyperlink"/>
    <w:basedOn w:val="DefaultParagraphFont"/>
    <w:uiPriority w:val="99"/>
    <w:unhideWhenUsed/>
    <w:rsid w:val="008C381F"/>
    <w:rPr>
      <w:color w:val="0000FF" w:themeColor="hyperlink"/>
      <w:u w:val="single"/>
    </w:rPr>
  </w:style>
  <w:style w:type="character" w:customStyle="1" w:styleId="Heading4Char">
    <w:name w:val="Heading 4 Char"/>
    <w:basedOn w:val="DefaultParagraphFont"/>
    <w:link w:val="Heading4"/>
    <w:uiPriority w:val="9"/>
    <w:rsid w:val="00420696"/>
    <w:rPr>
      <w:rFonts w:ascii="Times" w:hAnsi="Times"/>
      <w:b/>
      <w:bCs/>
    </w:rPr>
  </w:style>
  <w:style w:type="character" w:customStyle="1" w:styleId="body-text">
    <w:name w:val="body-text"/>
    <w:basedOn w:val="DefaultParagraphFont"/>
    <w:rsid w:val="00420696"/>
  </w:style>
  <w:style w:type="paragraph" w:styleId="Header">
    <w:name w:val="header"/>
    <w:basedOn w:val="Normal"/>
    <w:link w:val="HeaderChar"/>
    <w:uiPriority w:val="99"/>
    <w:unhideWhenUsed/>
    <w:rsid w:val="00EC4A9E"/>
    <w:pPr>
      <w:tabs>
        <w:tab w:val="center" w:pos="4320"/>
        <w:tab w:val="right" w:pos="8640"/>
      </w:tabs>
    </w:pPr>
  </w:style>
  <w:style w:type="character" w:customStyle="1" w:styleId="HeaderChar">
    <w:name w:val="Header Char"/>
    <w:basedOn w:val="DefaultParagraphFont"/>
    <w:link w:val="Header"/>
    <w:uiPriority w:val="99"/>
    <w:rsid w:val="00EC4A9E"/>
  </w:style>
  <w:style w:type="paragraph" w:styleId="Footer">
    <w:name w:val="footer"/>
    <w:basedOn w:val="Normal"/>
    <w:link w:val="FooterChar"/>
    <w:uiPriority w:val="99"/>
    <w:unhideWhenUsed/>
    <w:rsid w:val="00EC4A9E"/>
    <w:pPr>
      <w:tabs>
        <w:tab w:val="center" w:pos="4320"/>
        <w:tab w:val="right" w:pos="8640"/>
      </w:tabs>
    </w:pPr>
  </w:style>
  <w:style w:type="character" w:customStyle="1" w:styleId="FooterChar">
    <w:name w:val="Footer Char"/>
    <w:basedOn w:val="DefaultParagraphFont"/>
    <w:link w:val="Footer"/>
    <w:uiPriority w:val="99"/>
    <w:rsid w:val="00EC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6072">
      <w:bodyDiv w:val="1"/>
      <w:marLeft w:val="0"/>
      <w:marRight w:val="0"/>
      <w:marTop w:val="0"/>
      <w:marBottom w:val="0"/>
      <w:divBdr>
        <w:top w:val="none" w:sz="0" w:space="0" w:color="auto"/>
        <w:left w:val="none" w:sz="0" w:space="0" w:color="auto"/>
        <w:bottom w:val="none" w:sz="0" w:space="0" w:color="auto"/>
        <w:right w:val="none" w:sz="0" w:space="0" w:color="auto"/>
      </w:divBdr>
      <w:divsChild>
        <w:div w:id="1730765359">
          <w:marLeft w:val="0"/>
          <w:marRight w:val="0"/>
          <w:marTop w:val="0"/>
          <w:marBottom w:val="0"/>
          <w:divBdr>
            <w:top w:val="none" w:sz="0" w:space="0" w:color="auto"/>
            <w:left w:val="none" w:sz="0" w:space="0" w:color="auto"/>
            <w:bottom w:val="none" w:sz="0" w:space="0" w:color="auto"/>
            <w:right w:val="none" w:sz="0" w:space="0" w:color="auto"/>
          </w:divBdr>
          <w:divsChild>
            <w:div w:id="581064396">
              <w:marLeft w:val="-225"/>
              <w:marRight w:val="-225"/>
              <w:marTop w:val="0"/>
              <w:marBottom w:val="0"/>
              <w:divBdr>
                <w:top w:val="single" w:sz="6" w:space="0" w:color="DDDDBB"/>
                <w:left w:val="none" w:sz="0" w:space="0" w:color="auto"/>
                <w:bottom w:val="single" w:sz="6" w:space="0" w:color="DDDDBB"/>
                <w:right w:val="none" w:sz="0" w:space="0" w:color="auto"/>
              </w:divBdr>
              <w:divsChild>
                <w:div w:id="117533221">
                  <w:marLeft w:val="0"/>
                  <w:marRight w:val="0"/>
                  <w:marTop w:val="0"/>
                  <w:marBottom w:val="0"/>
                  <w:divBdr>
                    <w:top w:val="none" w:sz="0" w:space="0" w:color="auto"/>
                    <w:left w:val="none" w:sz="0" w:space="0" w:color="auto"/>
                    <w:bottom w:val="none" w:sz="0" w:space="0" w:color="auto"/>
                    <w:right w:val="none" w:sz="0" w:space="0" w:color="auto"/>
                  </w:divBdr>
                  <w:divsChild>
                    <w:div w:id="181167558">
                      <w:marLeft w:val="0"/>
                      <w:marRight w:val="0"/>
                      <w:marTop w:val="0"/>
                      <w:marBottom w:val="0"/>
                      <w:divBdr>
                        <w:top w:val="none" w:sz="0" w:space="0" w:color="auto"/>
                        <w:left w:val="none" w:sz="0" w:space="0" w:color="auto"/>
                        <w:bottom w:val="none" w:sz="0" w:space="0" w:color="auto"/>
                        <w:right w:val="none" w:sz="0" w:space="0" w:color="auto"/>
                      </w:divBdr>
                      <w:divsChild>
                        <w:div w:id="1913612105">
                          <w:marLeft w:val="0"/>
                          <w:marRight w:val="0"/>
                          <w:marTop w:val="0"/>
                          <w:marBottom w:val="0"/>
                          <w:divBdr>
                            <w:top w:val="none" w:sz="0" w:space="0" w:color="auto"/>
                            <w:left w:val="none" w:sz="0" w:space="0" w:color="auto"/>
                            <w:bottom w:val="none" w:sz="0" w:space="0" w:color="auto"/>
                            <w:right w:val="none" w:sz="0" w:space="0" w:color="auto"/>
                          </w:divBdr>
                          <w:divsChild>
                            <w:div w:id="2308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91314">
          <w:marLeft w:val="0"/>
          <w:marRight w:val="0"/>
          <w:marTop w:val="0"/>
          <w:marBottom w:val="0"/>
          <w:divBdr>
            <w:top w:val="none" w:sz="0" w:space="0" w:color="auto"/>
            <w:left w:val="none" w:sz="0" w:space="0" w:color="auto"/>
            <w:bottom w:val="none" w:sz="0" w:space="0" w:color="auto"/>
            <w:right w:val="none" w:sz="0" w:space="0" w:color="auto"/>
          </w:divBdr>
          <w:divsChild>
            <w:div w:id="1736081064">
              <w:marLeft w:val="-225"/>
              <w:marRight w:val="-225"/>
              <w:marTop w:val="0"/>
              <w:marBottom w:val="0"/>
              <w:divBdr>
                <w:top w:val="none" w:sz="0" w:space="0" w:color="auto"/>
                <w:left w:val="none" w:sz="0" w:space="0" w:color="auto"/>
                <w:bottom w:val="none" w:sz="0" w:space="0" w:color="auto"/>
                <w:right w:val="none" w:sz="0" w:space="0" w:color="auto"/>
              </w:divBdr>
              <w:divsChild>
                <w:div w:id="1220434571">
                  <w:marLeft w:val="0"/>
                  <w:marRight w:val="0"/>
                  <w:marTop w:val="0"/>
                  <w:marBottom w:val="0"/>
                  <w:divBdr>
                    <w:top w:val="none" w:sz="0" w:space="0" w:color="auto"/>
                    <w:left w:val="none" w:sz="0" w:space="0" w:color="auto"/>
                    <w:bottom w:val="none" w:sz="0" w:space="0" w:color="auto"/>
                    <w:right w:val="none" w:sz="0" w:space="0" w:color="auto"/>
                  </w:divBdr>
                  <w:divsChild>
                    <w:div w:id="1148742916">
                      <w:marLeft w:val="-225"/>
                      <w:marRight w:val="-225"/>
                      <w:marTop w:val="0"/>
                      <w:marBottom w:val="0"/>
                      <w:divBdr>
                        <w:top w:val="none" w:sz="0" w:space="0" w:color="auto"/>
                        <w:left w:val="none" w:sz="0" w:space="0" w:color="auto"/>
                        <w:bottom w:val="none" w:sz="0" w:space="0" w:color="auto"/>
                        <w:right w:val="none" w:sz="0" w:space="0" w:color="auto"/>
                      </w:divBdr>
                    </w:div>
                  </w:divsChild>
                </w:div>
                <w:div w:id="1789154122">
                  <w:marLeft w:val="0"/>
                  <w:marRight w:val="0"/>
                  <w:marTop w:val="0"/>
                  <w:marBottom w:val="0"/>
                  <w:divBdr>
                    <w:top w:val="none" w:sz="0" w:space="0" w:color="auto"/>
                    <w:left w:val="none" w:sz="0" w:space="0" w:color="auto"/>
                    <w:bottom w:val="none" w:sz="0" w:space="0" w:color="auto"/>
                    <w:right w:val="none" w:sz="0" w:space="0" w:color="auto"/>
                  </w:divBdr>
                  <w:divsChild>
                    <w:div w:id="1356419344">
                      <w:marLeft w:val="-225"/>
                      <w:marRight w:val="-225"/>
                      <w:marTop w:val="0"/>
                      <w:marBottom w:val="0"/>
                      <w:divBdr>
                        <w:top w:val="none" w:sz="0" w:space="0" w:color="auto"/>
                        <w:left w:val="none" w:sz="0" w:space="0" w:color="auto"/>
                        <w:bottom w:val="none" w:sz="0" w:space="0" w:color="auto"/>
                        <w:right w:val="none" w:sz="0" w:space="0" w:color="auto"/>
                      </w:divBdr>
                    </w:div>
                  </w:divsChild>
                </w:div>
                <w:div w:id="697970420">
                  <w:marLeft w:val="0"/>
                  <w:marRight w:val="0"/>
                  <w:marTop w:val="0"/>
                  <w:marBottom w:val="0"/>
                  <w:divBdr>
                    <w:top w:val="none" w:sz="0" w:space="0" w:color="auto"/>
                    <w:left w:val="none" w:sz="0" w:space="0" w:color="auto"/>
                    <w:bottom w:val="none" w:sz="0" w:space="0" w:color="auto"/>
                    <w:right w:val="none" w:sz="0" w:space="0" w:color="auto"/>
                  </w:divBdr>
                  <w:divsChild>
                    <w:div w:id="17330450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3658">
      <w:bodyDiv w:val="1"/>
      <w:marLeft w:val="0"/>
      <w:marRight w:val="0"/>
      <w:marTop w:val="0"/>
      <w:marBottom w:val="0"/>
      <w:divBdr>
        <w:top w:val="none" w:sz="0" w:space="0" w:color="auto"/>
        <w:left w:val="none" w:sz="0" w:space="0" w:color="auto"/>
        <w:bottom w:val="none" w:sz="0" w:space="0" w:color="auto"/>
        <w:right w:val="none" w:sz="0" w:space="0" w:color="auto"/>
      </w:divBdr>
      <w:divsChild>
        <w:div w:id="1783183773">
          <w:marLeft w:val="0"/>
          <w:marRight w:val="0"/>
          <w:marTop w:val="0"/>
          <w:marBottom w:val="0"/>
          <w:divBdr>
            <w:top w:val="none" w:sz="0" w:space="0" w:color="auto"/>
            <w:left w:val="none" w:sz="0" w:space="0" w:color="auto"/>
            <w:bottom w:val="none" w:sz="0" w:space="0" w:color="auto"/>
            <w:right w:val="none" w:sz="0" w:space="0" w:color="auto"/>
          </w:divBdr>
          <w:divsChild>
            <w:div w:id="131558310">
              <w:marLeft w:val="-225"/>
              <w:marRight w:val="-225"/>
              <w:marTop w:val="0"/>
              <w:marBottom w:val="0"/>
              <w:divBdr>
                <w:top w:val="single" w:sz="6" w:space="0" w:color="DDDDBB"/>
                <w:left w:val="none" w:sz="0" w:space="0" w:color="auto"/>
                <w:bottom w:val="single" w:sz="6" w:space="0" w:color="DDDDBB"/>
                <w:right w:val="none" w:sz="0" w:space="0" w:color="auto"/>
              </w:divBdr>
              <w:divsChild>
                <w:div w:id="357630609">
                  <w:marLeft w:val="0"/>
                  <w:marRight w:val="0"/>
                  <w:marTop w:val="0"/>
                  <w:marBottom w:val="0"/>
                  <w:divBdr>
                    <w:top w:val="none" w:sz="0" w:space="0" w:color="auto"/>
                    <w:left w:val="none" w:sz="0" w:space="0" w:color="auto"/>
                    <w:bottom w:val="none" w:sz="0" w:space="0" w:color="auto"/>
                    <w:right w:val="none" w:sz="0" w:space="0" w:color="auto"/>
                  </w:divBdr>
                  <w:divsChild>
                    <w:div w:id="189298467">
                      <w:marLeft w:val="0"/>
                      <w:marRight w:val="0"/>
                      <w:marTop w:val="0"/>
                      <w:marBottom w:val="0"/>
                      <w:divBdr>
                        <w:top w:val="none" w:sz="0" w:space="0" w:color="auto"/>
                        <w:left w:val="none" w:sz="0" w:space="0" w:color="auto"/>
                        <w:bottom w:val="none" w:sz="0" w:space="0" w:color="auto"/>
                        <w:right w:val="none" w:sz="0" w:space="0" w:color="auto"/>
                      </w:divBdr>
                      <w:divsChild>
                        <w:div w:id="898637069">
                          <w:marLeft w:val="0"/>
                          <w:marRight w:val="0"/>
                          <w:marTop w:val="0"/>
                          <w:marBottom w:val="0"/>
                          <w:divBdr>
                            <w:top w:val="none" w:sz="0" w:space="0" w:color="auto"/>
                            <w:left w:val="none" w:sz="0" w:space="0" w:color="auto"/>
                            <w:bottom w:val="none" w:sz="0" w:space="0" w:color="auto"/>
                            <w:right w:val="none" w:sz="0" w:space="0" w:color="auto"/>
                          </w:divBdr>
                          <w:divsChild>
                            <w:div w:id="9535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425607">
          <w:marLeft w:val="0"/>
          <w:marRight w:val="0"/>
          <w:marTop w:val="0"/>
          <w:marBottom w:val="0"/>
          <w:divBdr>
            <w:top w:val="none" w:sz="0" w:space="0" w:color="auto"/>
            <w:left w:val="none" w:sz="0" w:space="0" w:color="auto"/>
            <w:bottom w:val="none" w:sz="0" w:space="0" w:color="auto"/>
            <w:right w:val="none" w:sz="0" w:space="0" w:color="auto"/>
          </w:divBdr>
          <w:divsChild>
            <w:div w:id="405765011">
              <w:marLeft w:val="-225"/>
              <w:marRight w:val="-225"/>
              <w:marTop w:val="0"/>
              <w:marBottom w:val="0"/>
              <w:divBdr>
                <w:top w:val="none" w:sz="0" w:space="0" w:color="auto"/>
                <w:left w:val="none" w:sz="0" w:space="0" w:color="auto"/>
                <w:bottom w:val="none" w:sz="0" w:space="0" w:color="auto"/>
                <w:right w:val="none" w:sz="0" w:space="0" w:color="auto"/>
              </w:divBdr>
              <w:divsChild>
                <w:div w:id="657655485">
                  <w:marLeft w:val="0"/>
                  <w:marRight w:val="0"/>
                  <w:marTop w:val="0"/>
                  <w:marBottom w:val="0"/>
                  <w:divBdr>
                    <w:top w:val="none" w:sz="0" w:space="0" w:color="auto"/>
                    <w:left w:val="none" w:sz="0" w:space="0" w:color="auto"/>
                    <w:bottom w:val="none" w:sz="0" w:space="0" w:color="auto"/>
                    <w:right w:val="none" w:sz="0" w:space="0" w:color="auto"/>
                  </w:divBdr>
                  <w:divsChild>
                    <w:div w:id="1423798774">
                      <w:marLeft w:val="-225"/>
                      <w:marRight w:val="-225"/>
                      <w:marTop w:val="0"/>
                      <w:marBottom w:val="0"/>
                      <w:divBdr>
                        <w:top w:val="none" w:sz="0" w:space="0" w:color="auto"/>
                        <w:left w:val="none" w:sz="0" w:space="0" w:color="auto"/>
                        <w:bottom w:val="none" w:sz="0" w:space="0" w:color="auto"/>
                        <w:right w:val="none" w:sz="0" w:space="0" w:color="auto"/>
                      </w:divBdr>
                    </w:div>
                  </w:divsChild>
                </w:div>
                <w:div w:id="1414551453">
                  <w:marLeft w:val="0"/>
                  <w:marRight w:val="0"/>
                  <w:marTop w:val="0"/>
                  <w:marBottom w:val="0"/>
                  <w:divBdr>
                    <w:top w:val="none" w:sz="0" w:space="0" w:color="auto"/>
                    <w:left w:val="none" w:sz="0" w:space="0" w:color="auto"/>
                    <w:bottom w:val="none" w:sz="0" w:space="0" w:color="auto"/>
                    <w:right w:val="none" w:sz="0" w:space="0" w:color="auto"/>
                  </w:divBdr>
                  <w:divsChild>
                    <w:div w:id="1099519137">
                      <w:marLeft w:val="-225"/>
                      <w:marRight w:val="-225"/>
                      <w:marTop w:val="0"/>
                      <w:marBottom w:val="0"/>
                      <w:divBdr>
                        <w:top w:val="none" w:sz="0" w:space="0" w:color="auto"/>
                        <w:left w:val="none" w:sz="0" w:space="0" w:color="auto"/>
                        <w:bottom w:val="none" w:sz="0" w:space="0" w:color="auto"/>
                        <w:right w:val="none" w:sz="0" w:space="0" w:color="auto"/>
                      </w:divBdr>
                    </w:div>
                  </w:divsChild>
                </w:div>
                <w:div w:id="795609896">
                  <w:marLeft w:val="0"/>
                  <w:marRight w:val="0"/>
                  <w:marTop w:val="0"/>
                  <w:marBottom w:val="0"/>
                  <w:divBdr>
                    <w:top w:val="none" w:sz="0" w:space="0" w:color="auto"/>
                    <w:left w:val="none" w:sz="0" w:space="0" w:color="auto"/>
                    <w:bottom w:val="none" w:sz="0" w:space="0" w:color="auto"/>
                    <w:right w:val="none" w:sz="0" w:space="0" w:color="auto"/>
                  </w:divBdr>
                  <w:divsChild>
                    <w:div w:id="10040937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511">
      <w:bodyDiv w:val="1"/>
      <w:marLeft w:val="0"/>
      <w:marRight w:val="0"/>
      <w:marTop w:val="0"/>
      <w:marBottom w:val="0"/>
      <w:divBdr>
        <w:top w:val="none" w:sz="0" w:space="0" w:color="auto"/>
        <w:left w:val="none" w:sz="0" w:space="0" w:color="auto"/>
        <w:bottom w:val="none" w:sz="0" w:space="0" w:color="auto"/>
        <w:right w:val="none" w:sz="0" w:space="0" w:color="auto"/>
      </w:divBdr>
    </w:div>
    <w:div w:id="1963612538">
      <w:bodyDiv w:val="1"/>
      <w:marLeft w:val="0"/>
      <w:marRight w:val="0"/>
      <w:marTop w:val="0"/>
      <w:marBottom w:val="0"/>
      <w:divBdr>
        <w:top w:val="none" w:sz="0" w:space="0" w:color="auto"/>
        <w:left w:val="none" w:sz="0" w:space="0" w:color="auto"/>
        <w:bottom w:val="none" w:sz="0" w:space="0" w:color="auto"/>
        <w:right w:val="none" w:sz="0" w:space="0" w:color="auto"/>
      </w:divBdr>
      <w:divsChild>
        <w:div w:id="1572034693">
          <w:marLeft w:val="0"/>
          <w:marRight w:val="0"/>
          <w:marTop w:val="0"/>
          <w:marBottom w:val="0"/>
          <w:divBdr>
            <w:top w:val="none" w:sz="0" w:space="0" w:color="auto"/>
            <w:left w:val="none" w:sz="0" w:space="0" w:color="auto"/>
            <w:bottom w:val="none" w:sz="0" w:space="0" w:color="auto"/>
            <w:right w:val="none" w:sz="0" w:space="0" w:color="auto"/>
          </w:divBdr>
          <w:divsChild>
            <w:div w:id="1340621891">
              <w:marLeft w:val="-225"/>
              <w:marRight w:val="-225"/>
              <w:marTop w:val="0"/>
              <w:marBottom w:val="0"/>
              <w:divBdr>
                <w:top w:val="single" w:sz="6" w:space="0" w:color="DDDDBB"/>
                <w:left w:val="none" w:sz="0" w:space="0" w:color="auto"/>
                <w:bottom w:val="single" w:sz="6" w:space="0" w:color="DDDDBB"/>
                <w:right w:val="none" w:sz="0" w:space="0" w:color="auto"/>
              </w:divBdr>
              <w:divsChild>
                <w:div w:id="2024277558">
                  <w:marLeft w:val="0"/>
                  <w:marRight w:val="0"/>
                  <w:marTop w:val="0"/>
                  <w:marBottom w:val="0"/>
                  <w:divBdr>
                    <w:top w:val="none" w:sz="0" w:space="0" w:color="auto"/>
                    <w:left w:val="none" w:sz="0" w:space="0" w:color="auto"/>
                    <w:bottom w:val="none" w:sz="0" w:space="0" w:color="auto"/>
                    <w:right w:val="none" w:sz="0" w:space="0" w:color="auto"/>
                  </w:divBdr>
                  <w:divsChild>
                    <w:div w:id="238562867">
                      <w:marLeft w:val="0"/>
                      <w:marRight w:val="0"/>
                      <w:marTop w:val="0"/>
                      <w:marBottom w:val="0"/>
                      <w:divBdr>
                        <w:top w:val="none" w:sz="0" w:space="0" w:color="auto"/>
                        <w:left w:val="none" w:sz="0" w:space="0" w:color="auto"/>
                        <w:bottom w:val="none" w:sz="0" w:space="0" w:color="auto"/>
                        <w:right w:val="none" w:sz="0" w:space="0" w:color="auto"/>
                      </w:divBdr>
                      <w:divsChild>
                        <w:div w:id="813564521">
                          <w:marLeft w:val="0"/>
                          <w:marRight w:val="0"/>
                          <w:marTop w:val="0"/>
                          <w:marBottom w:val="0"/>
                          <w:divBdr>
                            <w:top w:val="none" w:sz="0" w:space="0" w:color="auto"/>
                            <w:left w:val="none" w:sz="0" w:space="0" w:color="auto"/>
                            <w:bottom w:val="none" w:sz="0" w:space="0" w:color="auto"/>
                            <w:right w:val="none" w:sz="0" w:space="0" w:color="auto"/>
                          </w:divBdr>
                          <w:divsChild>
                            <w:div w:id="4683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459697">
          <w:marLeft w:val="0"/>
          <w:marRight w:val="0"/>
          <w:marTop w:val="0"/>
          <w:marBottom w:val="0"/>
          <w:divBdr>
            <w:top w:val="none" w:sz="0" w:space="0" w:color="auto"/>
            <w:left w:val="none" w:sz="0" w:space="0" w:color="auto"/>
            <w:bottom w:val="none" w:sz="0" w:space="0" w:color="auto"/>
            <w:right w:val="none" w:sz="0" w:space="0" w:color="auto"/>
          </w:divBdr>
          <w:divsChild>
            <w:div w:id="132060791">
              <w:marLeft w:val="-225"/>
              <w:marRight w:val="-225"/>
              <w:marTop w:val="0"/>
              <w:marBottom w:val="0"/>
              <w:divBdr>
                <w:top w:val="none" w:sz="0" w:space="0" w:color="auto"/>
                <w:left w:val="none" w:sz="0" w:space="0" w:color="auto"/>
                <w:bottom w:val="none" w:sz="0" w:space="0" w:color="auto"/>
                <w:right w:val="none" w:sz="0" w:space="0" w:color="auto"/>
              </w:divBdr>
              <w:divsChild>
                <w:div w:id="1315985134">
                  <w:marLeft w:val="0"/>
                  <w:marRight w:val="0"/>
                  <w:marTop w:val="0"/>
                  <w:marBottom w:val="0"/>
                  <w:divBdr>
                    <w:top w:val="none" w:sz="0" w:space="0" w:color="auto"/>
                    <w:left w:val="none" w:sz="0" w:space="0" w:color="auto"/>
                    <w:bottom w:val="none" w:sz="0" w:space="0" w:color="auto"/>
                    <w:right w:val="none" w:sz="0" w:space="0" w:color="auto"/>
                  </w:divBdr>
                  <w:divsChild>
                    <w:div w:id="88546341">
                      <w:marLeft w:val="-225"/>
                      <w:marRight w:val="-225"/>
                      <w:marTop w:val="0"/>
                      <w:marBottom w:val="0"/>
                      <w:divBdr>
                        <w:top w:val="none" w:sz="0" w:space="0" w:color="auto"/>
                        <w:left w:val="none" w:sz="0" w:space="0" w:color="auto"/>
                        <w:bottom w:val="none" w:sz="0" w:space="0" w:color="auto"/>
                        <w:right w:val="none" w:sz="0" w:space="0" w:color="auto"/>
                      </w:divBdr>
                    </w:div>
                  </w:divsChild>
                </w:div>
                <w:div w:id="636841171">
                  <w:marLeft w:val="0"/>
                  <w:marRight w:val="0"/>
                  <w:marTop w:val="0"/>
                  <w:marBottom w:val="0"/>
                  <w:divBdr>
                    <w:top w:val="none" w:sz="0" w:space="0" w:color="auto"/>
                    <w:left w:val="none" w:sz="0" w:space="0" w:color="auto"/>
                    <w:bottom w:val="none" w:sz="0" w:space="0" w:color="auto"/>
                    <w:right w:val="none" w:sz="0" w:space="0" w:color="auto"/>
                  </w:divBdr>
                  <w:divsChild>
                    <w:div w:id="312027920">
                      <w:marLeft w:val="-225"/>
                      <w:marRight w:val="-225"/>
                      <w:marTop w:val="0"/>
                      <w:marBottom w:val="0"/>
                      <w:divBdr>
                        <w:top w:val="none" w:sz="0" w:space="0" w:color="auto"/>
                        <w:left w:val="none" w:sz="0" w:space="0" w:color="auto"/>
                        <w:bottom w:val="none" w:sz="0" w:space="0" w:color="auto"/>
                        <w:right w:val="none" w:sz="0" w:space="0" w:color="auto"/>
                      </w:divBdr>
                    </w:div>
                  </w:divsChild>
                </w:div>
                <w:div w:id="533420979">
                  <w:marLeft w:val="0"/>
                  <w:marRight w:val="0"/>
                  <w:marTop w:val="0"/>
                  <w:marBottom w:val="0"/>
                  <w:divBdr>
                    <w:top w:val="none" w:sz="0" w:space="0" w:color="auto"/>
                    <w:left w:val="none" w:sz="0" w:space="0" w:color="auto"/>
                    <w:bottom w:val="none" w:sz="0" w:space="0" w:color="auto"/>
                    <w:right w:val="none" w:sz="0" w:space="0" w:color="auto"/>
                  </w:divBdr>
                  <w:divsChild>
                    <w:div w:id="1045448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Franklin County Public Schools</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Stirling Sampson</dc:creator>
  <cp:keywords/>
  <dc:description/>
  <cp:lastModifiedBy>KHousholder</cp:lastModifiedBy>
  <cp:revision>3</cp:revision>
  <cp:lastPrinted>2016-03-03T14:24:00Z</cp:lastPrinted>
  <dcterms:created xsi:type="dcterms:W3CDTF">2021-09-02T14:30:00Z</dcterms:created>
  <dcterms:modified xsi:type="dcterms:W3CDTF">2021-09-02T14:30:00Z</dcterms:modified>
</cp:coreProperties>
</file>