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9A63" w14:textId="77777777" w:rsidR="00CC7419" w:rsidRPr="00AE27BB" w:rsidRDefault="00AE27BB" w:rsidP="00AE27BB">
      <w:pPr>
        <w:spacing w:after="0" w:line="240" w:lineRule="auto"/>
        <w:rPr>
          <w:rFonts w:ascii="Bookman Old Style" w:hAnsi="Bookman Old Style"/>
          <w:sz w:val="96"/>
          <w:szCs w:val="96"/>
        </w:rPr>
      </w:pPr>
      <w:r w:rsidRPr="00AE27BB">
        <w:rPr>
          <w:rFonts w:ascii="Bookman Old Style" w:hAnsi="Bookman Old Style"/>
          <w:noProof/>
          <w:sz w:val="96"/>
          <w:szCs w:val="96"/>
        </w:rPr>
        <w:drawing>
          <wp:anchor distT="0" distB="0" distL="114300" distR="114300" simplePos="0" relativeHeight="251658240" behindDoc="1" locked="0" layoutInCell="1" allowOverlap="1" wp14:anchorId="31A64FFE" wp14:editId="54577ED7">
            <wp:simplePos x="0" y="0"/>
            <wp:positionH relativeFrom="column">
              <wp:posOffset>0</wp:posOffset>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sidRPr="00AE27BB">
        <w:rPr>
          <w:rFonts w:ascii="Bookman Old Style" w:hAnsi="Bookman Old Style"/>
          <w:sz w:val="96"/>
          <w:szCs w:val="96"/>
        </w:rPr>
        <w:t>G-CASE</w:t>
      </w:r>
    </w:p>
    <w:p w14:paraId="5509810F" w14:textId="77777777" w:rsidR="00AE27BB" w:rsidRPr="00AE27BB" w:rsidRDefault="00AE27BB" w:rsidP="00AE27BB">
      <w:pPr>
        <w:pBdr>
          <w:bottom w:val="single" w:sz="4" w:space="1" w:color="auto"/>
        </w:pBdr>
        <w:spacing w:after="0"/>
        <w:rPr>
          <w:rFonts w:ascii="Bookman Old Style" w:hAnsi="Bookman Old Style"/>
          <w:i/>
          <w:sz w:val="28"/>
          <w:szCs w:val="28"/>
        </w:rPr>
      </w:pPr>
      <w:r w:rsidRPr="00AE27BB">
        <w:rPr>
          <w:rFonts w:ascii="Bookman Old Style" w:hAnsi="Bookman Old Style"/>
          <w:i/>
          <w:sz w:val="28"/>
          <w:szCs w:val="28"/>
        </w:rPr>
        <w:t>Georgia Council of Administrators of Special Education</w:t>
      </w:r>
    </w:p>
    <w:p w14:paraId="26EB1E31" w14:textId="77777777" w:rsidR="008749B0" w:rsidRDefault="008749B0" w:rsidP="002E066E">
      <w:pPr>
        <w:spacing w:after="0"/>
        <w:rPr>
          <w:rFonts w:ascii="Bookman Old Style" w:hAnsi="Bookman Old Style"/>
          <w:b/>
          <w:bCs/>
          <w:sz w:val="28"/>
          <w:szCs w:val="28"/>
        </w:rPr>
      </w:pPr>
    </w:p>
    <w:p w14:paraId="715A5B9C" w14:textId="77777777" w:rsidR="008749B0" w:rsidRDefault="008749B0" w:rsidP="002E066E">
      <w:pPr>
        <w:spacing w:after="0"/>
        <w:rPr>
          <w:rFonts w:ascii="Bookman Old Style" w:hAnsi="Bookman Old Style"/>
          <w:b/>
          <w:bCs/>
          <w:sz w:val="28"/>
          <w:szCs w:val="28"/>
        </w:rPr>
      </w:pPr>
    </w:p>
    <w:p w14:paraId="7361944A" w14:textId="77777777" w:rsidR="00B159D7" w:rsidRPr="00B159D7" w:rsidRDefault="00B159D7" w:rsidP="00B159D7">
      <w:pPr>
        <w:spacing w:after="0"/>
        <w:jc w:val="center"/>
        <w:rPr>
          <w:rFonts w:ascii="Bookman Old Style" w:hAnsi="Bookman Old Style"/>
          <w:b/>
          <w:bCs/>
          <w:color w:val="984806" w:themeColor="accent6" w:themeShade="80"/>
          <w:sz w:val="28"/>
          <w:szCs w:val="28"/>
        </w:rPr>
      </w:pPr>
      <w:r w:rsidRPr="00B159D7">
        <w:rPr>
          <w:rFonts w:ascii="Bookman Old Style" w:hAnsi="Bookman Old Style"/>
          <w:b/>
          <w:bCs/>
          <w:color w:val="984806" w:themeColor="accent6" w:themeShade="80"/>
          <w:sz w:val="28"/>
          <w:szCs w:val="28"/>
        </w:rPr>
        <w:t>REGISTRATION IS NOW OPEN FOR THE 2025 G-CASE FALL CONFERENCE!</w:t>
      </w:r>
    </w:p>
    <w:p w14:paraId="0182C583" w14:textId="77777777" w:rsidR="00B159D7" w:rsidRPr="00B159D7" w:rsidRDefault="00B159D7" w:rsidP="00B159D7">
      <w:pPr>
        <w:spacing w:after="0"/>
        <w:jc w:val="center"/>
        <w:rPr>
          <w:rFonts w:ascii="Bookman Old Style" w:hAnsi="Bookman Old Style"/>
          <w:b/>
          <w:bCs/>
          <w:color w:val="984806" w:themeColor="accent6" w:themeShade="80"/>
          <w:sz w:val="28"/>
          <w:szCs w:val="28"/>
        </w:rPr>
      </w:pPr>
      <w:r w:rsidRPr="00B159D7">
        <w:rPr>
          <w:rFonts w:ascii="Bookman Old Style" w:hAnsi="Bookman Old Style"/>
          <w:b/>
          <w:bCs/>
          <w:i/>
          <w:iCs/>
          <w:color w:val="984806" w:themeColor="accent6" w:themeShade="80"/>
          <w:sz w:val="28"/>
          <w:szCs w:val="28"/>
        </w:rPr>
        <w:t>EDUCATION: The Greatest Show on Earth — Balancing Compliance and Instruction under the Big Top!</w:t>
      </w:r>
    </w:p>
    <w:p w14:paraId="10DFD1FD" w14:textId="77777777" w:rsidR="00B159D7" w:rsidRPr="00B159D7" w:rsidRDefault="00B159D7" w:rsidP="00B159D7">
      <w:pPr>
        <w:spacing w:after="0"/>
        <w:rPr>
          <w:rFonts w:ascii="Bookman Old Style" w:hAnsi="Bookman Old Style"/>
          <w:b/>
          <w:bCs/>
          <w:sz w:val="28"/>
          <w:szCs w:val="28"/>
        </w:rPr>
      </w:pPr>
    </w:p>
    <w:p w14:paraId="75878E81" w14:textId="77777777" w:rsidR="00B159D7" w:rsidRPr="00B159D7" w:rsidRDefault="00B159D7" w:rsidP="00B159D7">
      <w:pPr>
        <w:spacing w:after="0"/>
        <w:jc w:val="both"/>
        <w:rPr>
          <w:rFonts w:ascii="Bookman Old Style" w:hAnsi="Bookman Old Style"/>
          <w:sz w:val="28"/>
          <w:szCs w:val="28"/>
        </w:rPr>
      </w:pPr>
      <w:r w:rsidRPr="00B159D7">
        <w:rPr>
          <w:rFonts w:ascii="Bookman Old Style" w:hAnsi="Bookman Old Style"/>
          <w:sz w:val="28"/>
          <w:szCs w:val="28"/>
        </w:rPr>
        <w:t>You will be inspired by nationally acclaimed presenters while sharpening your skills as an educational leader – and more specifically, a leader for our students with disabilities!  Plans currently include an inspiring three-day conference, live in Savannah.  An array of excellent keynote presenters; timely and informative breakout sessions highlighting exemplary practices, GaDOE initiatives, and trending legal issues -- along with high-quality exhibitors, an exciting FREE Carnival, social events, awards, BIG door prizes, and a Silent Auction-- has been planned to give you the opportunity to network, learn, and leave refreshed and ready!  This conference has been designed specifically for you and your team.</w:t>
      </w:r>
    </w:p>
    <w:p w14:paraId="6C72EE06" w14:textId="77777777" w:rsidR="00B159D7" w:rsidRPr="00B159D7" w:rsidRDefault="00B159D7" w:rsidP="00B159D7">
      <w:pPr>
        <w:spacing w:after="0"/>
        <w:jc w:val="both"/>
        <w:rPr>
          <w:rFonts w:ascii="Bookman Old Style" w:hAnsi="Bookman Old Style"/>
          <w:sz w:val="28"/>
          <w:szCs w:val="28"/>
        </w:rPr>
      </w:pPr>
      <w:r w:rsidRPr="00B159D7">
        <w:rPr>
          <w:rFonts w:ascii="Bookman Old Style" w:hAnsi="Bookman Old Style"/>
          <w:sz w:val="28"/>
          <w:szCs w:val="28"/>
        </w:rPr>
        <w:t xml:space="preserve">Because of the uncertain times regarding Professional Learning funding, G-CASE will not be raising prices on ANY of our activities or membership this year! Additionally, we will be hosting even more exciting events throughout the year!  We know you need high-level Professional Learning to stay current and remain compliant, </w:t>
      </w:r>
      <w:proofErr w:type="gramStart"/>
      <w:r w:rsidRPr="00B159D7">
        <w:rPr>
          <w:rFonts w:ascii="Bookman Old Style" w:hAnsi="Bookman Old Style"/>
          <w:sz w:val="28"/>
          <w:szCs w:val="28"/>
        </w:rPr>
        <w:t>in order to</w:t>
      </w:r>
      <w:proofErr w:type="gramEnd"/>
      <w:r w:rsidRPr="00B159D7">
        <w:rPr>
          <w:rFonts w:ascii="Bookman Old Style" w:hAnsi="Bookman Old Style"/>
          <w:sz w:val="28"/>
          <w:szCs w:val="28"/>
        </w:rPr>
        <w:t xml:space="preserve"> continue to improve outcomes for our students with disabilities.</w:t>
      </w:r>
    </w:p>
    <w:p w14:paraId="102247DB" w14:textId="77777777" w:rsidR="00B159D7" w:rsidRPr="00B159D7" w:rsidRDefault="00B159D7" w:rsidP="00B159D7">
      <w:pPr>
        <w:spacing w:after="0"/>
        <w:jc w:val="both"/>
        <w:rPr>
          <w:rFonts w:ascii="Bookman Old Style" w:hAnsi="Bookman Old Style"/>
          <w:sz w:val="28"/>
          <w:szCs w:val="28"/>
        </w:rPr>
      </w:pPr>
      <w:r w:rsidRPr="00B159D7">
        <w:rPr>
          <w:rFonts w:ascii="Bookman Old Style" w:hAnsi="Bookman Old Style"/>
          <w:sz w:val="28"/>
          <w:szCs w:val="28"/>
        </w:rPr>
        <w:t>RFPs for Breakout Sessions will be sent out in early September.</w:t>
      </w:r>
    </w:p>
    <w:p w14:paraId="0E2B50C9" w14:textId="77777777" w:rsidR="00B159D7" w:rsidRPr="00B159D7" w:rsidRDefault="00B159D7" w:rsidP="00B159D7">
      <w:pPr>
        <w:spacing w:after="0"/>
        <w:jc w:val="both"/>
        <w:rPr>
          <w:rFonts w:ascii="Bookman Old Style" w:hAnsi="Bookman Old Style"/>
          <w:sz w:val="28"/>
          <w:szCs w:val="28"/>
        </w:rPr>
      </w:pPr>
      <w:r w:rsidRPr="00B159D7">
        <w:rPr>
          <w:rFonts w:ascii="Bookman Old Style" w:hAnsi="Bookman Old Style"/>
          <w:sz w:val="28"/>
          <w:szCs w:val="28"/>
        </w:rPr>
        <w:t xml:space="preserve">Bring your team </w:t>
      </w:r>
      <w:proofErr w:type="gramStart"/>
      <w:r w:rsidRPr="00B159D7">
        <w:rPr>
          <w:rFonts w:ascii="Bookman Old Style" w:hAnsi="Bookman Old Style"/>
          <w:sz w:val="28"/>
          <w:szCs w:val="28"/>
        </w:rPr>
        <w:t>and come</w:t>
      </w:r>
      <w:proofErr w:type="gramEnd"/>
      <w:r w:rsidRPr="00B159D7">
        <w:rPr>
          <w:rFonts w:ascii="Bookman Old Style" w:hAnsi="Bookman Old Style"/>
          <w:sz w:val="28"/>
          <w:szCs w:val="28"/>
        </w:rPr>
        <w:t xml:space="preserve"> join us in Savannah at the Hyatt Regency on the River, November 12-14, 2025.</w:t>
      </w:r>
    </w:p>
    <w:p w14:paraId="2EC6F9A6" w14:textId="77777777" w:rsidR="00B159D7" w:rsidRPr="00B159D7" w:rsidRDefault="00B159D7" w:rsidP="00B159D7">
      <w:pPr>
        <w:spacing w:after="0"/>
        <w:jc w:val="both"/>
        <w:rPr>
          <w:rFonts w:ascii="Bookman Old Style" w:hAnsi="Bookman Old Style"/>
          <w:sz w:val="28"/>
          <w:szCs w:val="28"/>
        </w:rPr>
      </w:pPr>
      <w:r w:rsidRPr="00B159D7">
        <w:rPr>
          <w:rFonts w:ascii="Bookman Old Style" w:hAnsi="Bookman Old Style"/>
          <w:sz w:val="28"/>
          <w:szCs w:val="28"/>
        </w:rPr>
        <w:t>A DRAFT Agenda is attached for your planning purposes. </w:t>
      </w:r>
    </w:p>
    <w:p w14:paraId="22642BD9" w14:textId="77777777" w:rsidR="00B159D7" w:rsidRPr="00B159D7" w:rsidRDefault="00B159D7" w:rsidP="00B159D7">
      <w:pPr>
        <w:spacing w:after="0"/>
        <w:jc w:val="both"/>
        <w:rPr>
          <w:rFonts w:ascii="Bookman Old Style" w:hAnsi="Bookman Old Style"/>
          <w:sz w:val="28"/>
          <w:szCs w:val="28"/>
        </w:rPr>
      </w:pPr>
    </w:p>
    <w:p w14:paraId="77F2F5CD" w14:textId="77777777" w:rsidR="00B159D7" w:rsidRPr="00B159D7" w:rsidRDefault="00B159D7" w:rsidP="00B159D7">
      <w:pPr>
        <w:spacing w:after="0"/>
        <w:rPr>
          <w:rFonts w:ascii="Bookman Old Style" w:hAnsi="Bookman Old Style"/>
          <w:b/>
          <w:bCs/>
          <w:sz w:val="28"/>
          <w:szCs w:val="28"/>
        </w:rPr>
      </w:pPr>
      <w:hyperlink r:id="rId8" w:tooltip="https://gael.ps.membersuite.com/events/ViewEvent.aspx?contextID=e386dc0a-0078-c8eb-80e6-0b489aa923dd." w:history="1">
        <w:r w:rsidRPr="00B159D7">
          <w:rPr>
            <w:rStyle w:val="Hyperlink"/>
            <w:rFonts w:ascii="Bookman Old Style" w:hAnsi="Bookman Old Style"/>
            <w:b/>
            <w:bCs/>
            <w:sz w:val="28"/>
            <w:szCs w:val="28"/>
          </w:rPr>
          <w:t>REGISTRATION FOR THE 2025 G-CASE FALL CONFERENCE</w:t>
        </w:r>
      </w:hyperlink>
    </w:p>
    <w:p w14:paraId="3ECCAEBC" w14:textId="77777777" w:rsidR="00B159D7" w:rsidRPr="00B159D7" w:rsidRDefault="00B159D7" w:rsidP="00B159D7">
      <w:pPr>
        <w:spacing w:after="0"/>
        <w:rPr>
          <w:rFonts w:ascii="Bookman Old Style" w:hAnsi="Bookman Old Style"/>
          <w:b/>
          <w:bCs/>
          <w:sz w:val="28"/>
          <w:szCs w:val="28"/>
        </w:rPr>
      </w:pPr>
      <w:hyperlink r:id="rId9" w:tooltip="https://www.hyatt.com/en-US/group-booking/SAVRS/G-GCAE" w:history="1">
        <w:r w:rsidRPr="00B159D7">
          <w:rPr>
            <w:rStyle w:val="Hyperlink"/>
            <w:rFonts w:ascii="Bookman Old Style" w:hAnsi="Bookman Old Style"/>
            <w:b/>
            <w:bCs/>
            <w:sz w:val="28"/>
            <w:szCs w:val="28"/>
          </w:rPr>
          <w:t>HOTEL LINK FOR THE HYATT </w:t>
        </w:r>
      </w:hyperlink>
    </w:p>
    <w:p w14:paraId="4D58467A" w14:textId="77777777" w:rsidR="00B159D7" w:rsidRPr="00B159D7" w:rsidRDefault="00B159D7" w:rsidP="00B159D7">
      <w:pPr>
        <w:spacing w:after="0"/>
        <w:rPr>
          <w:rFonts w:ascii="Bookman Old Style" w:hAnsi="Bookman Old Style"/>
          <w:b/>
          <w:bCs/>
          <w:sz w:val="28"/>
          <w:szCs w:val="28"/>
        </w:rPr>
      </w:pPr>
      <w:hyperlink r:id="rId10" w:tooltip="https://www.hyatt.com/en-US/group-booking/SAVRD/G-GCAS" w:history="1">
        <w:r w:rsidRPr="00B159D7">
          <w:rPr>
            <w:rStyle w:val="Hyperlink"/>
            <w:rFonts w:ascii="Bookman Old Style" w:hAnsi="Bookman Old Style"/>
            <w:b/>
            <w:bCs/>
            <w:sz w:val="28"/>
            <w:szCs w:val="28"/>
          </w:rPr>
          <w:t>OVERFLOW HOTEL LINK AT THE ANDAZ</w:t>
        </w:r>
      </w:hyperlink>
      <w:hyperlink r:id="rId11" w:tooltip="https://www.hyatt.com/en-US/group-booking/SAVRD/G-GCAS" w:history="1">
        <w:r w:rsidRPr="00B159D7">
          <w:rPr>
            <w:rStyle w:val="Hyperlink"/>
            <w:rFonts w:ascii="Bookman Old Style" w:hAnsi="Bookman Old Style"/>
            <w:b/>
            <w:bCs/>
            <w:sz w:val="28"/>
            <w:szCs w:val="28"/>
          </w:rPr>
          <w:t> </w:t>
        </w:r>
      </w:hyperlink>
      <w:r w:rsidRPr="00B159D7">
        <w:rPr>
          <w:rFonts w:ascii="Bookman Old Style" w:hAnsi="Bookman Old Style"/>
          <w:b/>
          <w:bCs/>
          <w:sz w:val="28"/>
          <w:szCs w:val="28"/>
        </w:rPr>
        <w:t>(</w:t>
      </w:r>
      <w:r w:rsidRPr="00B159D7">
        <w:rPr>
          <w:rFonts w:ascii="Bookman Old Style" w:hAnsi="Bookman Old Style"/>
          <w:b/>
          <w:bCs/>
          <w:i/>
          <w:iCs/>
          <w:sz w:val="28"/>
          <w:szCs w:val="28"/>
        </w:rPr>
        <w:t>one block from the Hyatt)</w:t>
      </w:r>
    </w:p>
    <w:p w14:paraId="4E948A8A" w14:textId="77777777" w:rsidR="00B159D7" w:rsidRPr="00B159D7" w:rsidRDefault="00B159D7" w:rsidP="00B159D7">
      <w:pPr>
        <w:spacing w:after="0"/>
        <w:rPr>
          <w:rFonts w:ascii="Bookman Old Style" w:hAnsi="Bookman Old Style"/>
          <w:b/>
          <w:bCs/>
          <w:sz w:val="28"/>
          <w:szCs w:val="28"/>
        </w:rPr>
      </w:pPr>
    </w:p>
    <w:p w14:paraId="3393B044" w14:textId="5E510691" w:rsidR="00B159D7" w:rsidRPr="00B159D7" w:rsidRDefault="00B159D7" w:rsidP="00B159D7">
      <w:pPr>
        <w:spacing w:after="0"/>
        <w:rPr>
          <w:rFonts w:ascii="Bookman Old Style" w:hAnsi="Bookman Old Style"/>
          <w:b/>
          <w:bCs/>
          <w:sz w:val="28"/>
          <w:szCs w:val="28"/>
        </w:rPr>
      </w:pPr>
      <w:r w:rsidRPr="00B159D7">
        <w:rPr>
          <w:rFonts w:ascii="Bookman Old Style" w:hAnsi="Bookman Old Style"/>
          <w:b/>
          <w:bCs/>
          <w:sz w:val="28"/>
          <w:szCs w:val="28"/>
        </w:rPr>
        <w:lastRenderedPageBreak/>
        <w:drawing>
          <wp:inline distT="0" distB="0" distL="0" distR="0" wp14:anchorId="13AD1DEC" wp14:editId="73FD7A7D">
            <wp:extent cx="3638550" cy="5457825"/>
            <wp:effectExtent l="0" t="0" r="0" b="9525"/>
            <wp:docPr id="646902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5457825"/>
                    </a:xfrm>
                    <a:prstGeom prst="rect">
                      <a:avLst/>
                    </a:prstGeom>
                    <a:noFill/>
                    <a:ln>
                      <a:noFill/>
                    </a:ln>
                  </pic:spPr>
                </pic:pic>
              </a:graphicData>
            </a:graphic>
          </wp:inline>
        </w:drawing>
      </w:r>
    </w:p>
    <w:p w14:paraId="43DDFC44" w14:textId="77777777" w:rsidR="00B159D7" w:rsidRPr="00B159D7" w:rsidRDefault="00B159D7" w:rsidP="00B159D7">
      <w:pPr>
        <w:spacing w:after="0"/>
        <w:rPr>
          <w:rFonts w:ascii="Bookman Old Style" w:hAnsi="Bookman Old Style"/>
          <w:b/>
          <w:bCs/>
          <w:sz w:val="28"/>
          <w:szCs w:val="28"/>
        </w:rPr>
      </w:pPr>
    </w:p>
    <w:p w14:paraId="4401600E" w14:textId="77777777" w:rsidR="00B159D7" w:rsidRDefault="00B159D7" w:rsidP="002E066E">
      <w:pPr>
        <w:spacing w:after="0"/>
        <w:rPr>
          <w:rFonts w:ascii="Bookman Old Style" w:hAnsi="Bookman Old Style"/>
          <w:b/>
          <w:bCs/>
          <w:sz w:val="28"/>
          <w:szCs w:val="28"/>
        </w:rPr>
      </w:pPr>
    </w:p>
    <w:p w14:paraId="3D387499" w14:textId="77777777" w:rsidR="00D65282" w:rsidRDefault="00D65282" w:rsidP="00D65282">
      <w:pPr>
        <w:spacing w:after="0"/>
        <w:jc w:val="center"/>
        <w:rPr>
          <w:rFonts w:ascii="Bookman Old Style" w:hAnsi="Bookman Old Style"/>
          <w:b/>
          <w:bCs/>
          <w:color w:val="002060"/>
          <w:sz w:val="16"/>
          <w:szCs w:val="16"/>
        </w:rPr>
      </w:pPr>
    </w:p>
    <w:sectPr w:rsidR="00D65282" w:rsidSect="00A03ECB">
      <w:footerReference w:type="defaul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9314" w14:textId="77777777" w:rsidR="00E20C4B" w:rsidRDefault="00E20C4B" w:rsidP="00D65282">
      <w:pPr>
        <w:spacing w:after="0" w:line="240" w:lineRule="auto"/>
      </w:pPr>
      <w:r>
        <w:separator/>
      </w:r>
    </w:p>
  </w:endnote>
  <w:endnote w:type="continuationSeparator" w:id="0">
    <w:p w14:paraId="7E9967F8" w14:textId="77777777" w:rsidR="00E20C4B" w:rsidRDefault="00E20C4B" w:rsidP="00D6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D8BE" w14:textId="02C18DFE" w:rsidR="00D65282" w:rsidRPr="00C11C0C" w:rsidRDefault="00C11C0C" w:rsidP="00C11C0C">
    <w:pPr>
      <w:pStyle w:val="Footer"/>
      <w:jc w:val="center"/>
      <w:rPr>
        <w:rFonts w:ascii="High Tower Text" w:hAnsi="High Tower Text" w:cs="Dreaming Outloud Script Pro"/>
        <w:i/>
        <w:iCs/>
        <w:color w:val="002060"/>
        <w:sz w:val="24"/>
        <w:szCs w:val="24"/>
      </w:rPr>
    </w:pPr>
    <w:r w:rsidRPr="00C11C0C">
      <w:rPr>
        <w:rFonts w:ascii="High Tower Text" w:hAnsi="High Tower Text" w:cs="Dreaming Outloud Script Pro"/>
        <w:i/>
        <w:iCs/>
        <w:color w:val="002060"/>
        <w:sz w:val="24"/>
        <w:szCs w:val="24"/>
      </w:rPr>
      <w:t>Promoting professional learning, engaged membership, and effective leadership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BF10" w14:textId="77777777" w:rsidR="00E20C4B" w:rsidRDefault="00E20C4B" w:rsidP="00D65282">
      <w:pPr>
        <w:spacing w:after="0" w:line="240" w:lineRule="auto"/>
      </w:pPr>
      <w:r>
        <w:separator/>
      </w:r>
    </w:p>
  </w:footnote>
  <w:footnote w:type="continuationSeparator" w:id="0">
    <w:p w14:paraId="37C53B23" w14:textId="77777777" w:rsidR="00E20C4B" w:rsidRDefault="00E20C4B" w:rsidP="00D65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4BE"/>
    <w:multiLevelType w:val="hybridMultilevel"/>
    <w:tmpl w:val="2C0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F0AA2"/>
    <w:multiLevelType w:val="hybridMultilevel"/>
    <w:tmpl w:val="1C78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3527">
    <w:abstractNumId w:val="1"/>
  </w:num>
  <w:num w:numId="2" w16cid:durableId="61363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TAxNjExN7E0NzJR0lEKTi0uzszPAymwrAUAfV83PywAAAA="/>
  </w:docVars>
  <w:rsids>
    <w:rsidRoot w:val="00AE27BB"/>
    <w:rsid w:val="000162FB"/>
    <w:rsid w:val="00033D00"/>
    <w:rsid w:val="0005140E"/>
    <w:rsid w:val="00072BA5"/>
    <w:rsid w:val="00134393"/>
    <w:rsid w:val="00144747"/>
    <w:rsid w:val="00170379"/>
    <w:rsid w:val="001A7831"/>
    <w:rsid w:val="001F6CAF"/>
    <w:rsid w:val="00200A9F"/>
    <w:rsid w:val="002625BE"/>
    <w:rsid w:val="00280CD9"/>
    <w:rsid w:val="00281C42"/>
    <w:rsid w:val="002A4879"/>
    <w:rsid w:val="002E066E"/>
    <w:rsid w:val="002E17A6"/>
    <w:rsid w:val="002F2F6C"/>
    <w:rsid w:val="00350D8F"/>
    <w:rsid w:val="003600FB"/>
    <w:rsid w:val="003655AD"/>
    <w:rsid w:val="00396281"/>
    <w:rsid w:val="003978CD"/>
    <w:rsid w:val="003A53B3"/>
    <w:rsid w:val="003D375F"/>
    <w:rsid w:val="003D6B20"/>
    <w:rsid w:val="003F79DB"/>
    <w:rsid w:val="00406020"/>
    <w:rsid w:val="004225A5"/>
    <w:rsid w:val="00467237"/>
    <w:rsid w:val="00474247"/>
    <w:rsid w:val="004B446D"/>
    <w:rsid w:val="004E1A38"/>
    <w:rsid w:val="004E3EF0"/>
    <w:rsid w:val="004F4E81"/>
    <w:rsid w:val="004F743F"/>
    <w:rsid w:val="00502487"/>
    <w:rsid w:val="0051356D"/>
    <w:rsid w:val="0058714A"/>
    <w:rsid w:val="00591881"/>
    <w:rsid w:val="005919C4"/>
    <w:rsid w:val="005D392E"/>
    <w:rsid w:val="005D5042"/>
    <w:rsid w:val="005F0E1C"/>
    <w:rsid w:val="0061768D"/>
    <w:rsid w:val="00633E43"/>
    <w:rsid w:val="00683C86"/>
    <w:rsid w:val="006B12B0"/>
    <w:rsid w:val="006B64F2"/>
    <w:rsid w:val="006D099F"/>
    <w:rsid w:val="007040B3"/>
    <w:rsid w:val="007228A8"/>
    <w:rsid w:val="00750AED"/>
    <w:rsid w:val="007628D6"/>
    <w:rsid w:val="00795102"/>
    <w:rsid w:val="007F13B3"/>
    <w:rsid w:val="007F1814"/>
    <w:rsid w:val="008552CC"/>
    <w:rsid w:val="008749B0"/>
    <w:rsid w:val="008A4956"/>
    <w:rsid w:val="008D1481"/>
    <w:rsid w:val="008F3CFA"/>
    <w:rsid w:val="009D092A"/>
    <w:rsid w:val="009E3E16"/>
    <w:rsid w:val="009F688A"/>
    <w:rsid w:val="00A03ECB"/>
    <w:rsid w:val="00A26CF5"/>
    <w:rsid w:val="00A331F5"/>
    <w:rsid w:val="00A506D8"/>
    <w:rsid w:val="00A51ACB"/>
    <w:rsid w:val="00A572E2"/>
    <w:rsid w:val="00A63EF7"/>
    <w:rsid w:val="00A71C9E"/>
    <w:rsid w:val="00AE27BB"/>
    <w:rsid w:val="00AF3205"/>
    <w:rsid w:val="00B12A66"/>
    <w:rsid w:val="00B1385B"/>
    <w:rsid w:val="00B159D7"/>
    <w:rsid w:val="00B62E77"/>
    <w:rsid w:val="00B67444"/>
    <w:rsid w:val="00B90125"/>
    <w:rsid w:val="00C079F6"/>
    <w:rsid w:val="00C11C0C"/>
    <w:rsid w:val="00C248F4"/>
    <w:rsid w:val="00C642FB"/>
    <w:rsid w:val="00CB1620"/>
    <w:rsid w:val="00CB2E67"/>
    <w:rsid w:val="00CB3E29"/>
    <w:rsid w:val="00CC34F5"/>
    <w:rsid w:val="00CC7419"/>
    <w:rsid w:val="00CF7AD8"/>
    <w:rsid w:val="00D00159"/>
    <w:rsid w:val="00D17DDA"/>
    <w:rsid w:val="00D632E5"/>
    <w:rsid w:val="00D65282"/>
    <w:rsid w:val="00DA290F"/>
    <w:rsid w:val="00DF0968"/>
    <w:rsid w:val="00E20C4B"/>
    <w:rsid w:val="00E32FD7"/>
    <w:rsid w:val="00E4579D"/>
    <w:rsid w:val="00E61F2F"/>
    <w:rsid w:val="00E70A53"/>
    <w:rsid w:val="00E7512E"/>
    <w:rsid w:val="00E84507"/>
    <w:rsid w:val="00E87035"/>
    <w:rsid w:val="00E96717"/>
    <w:rsid w:val="00EC1E3F"/>
    <w:rsid w:val="00EF7A68"/>
    <w:rsid w:val="00F90B9E"/>
    <w:rsid w:val="00F917B8"/>
    <w:rsid w:val="00FB3A5F"/>
    <w:rsid w:val="00FC239E"/>
    <w:rsid w:val="00FE33BF"/>
    <w:rsid w:val="00FF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35D2"/>
  <w15:docId w15:val="{708C054A-C838-4B00-AC34-3CD69C2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BB"/>
    <w:rPr>
      <w:rFonts w:ascii="Tahoma" w:hAnsi="Tahoma" w:cs="Tahoma"/>
      <w:sz w:val="16"/>
      <w:szCs w:val="16"/>
    </w:rPr>
  </w:style>
  <w:style w:type="table" w:styleId="TableGrid">
    <w:name w:val="Table Grid"/>
    <w:basedOn w:val="TableNormal"/>
    <w:uiPriority w:val="39"/>
    <w:rsid w:val="00AE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E67"/>
    <w:rPr>
      <w:color w:val="0000FF" w:themeColor="hyperlink"/>
      <w:u w:val="single"/>
    </w:rPr>
  </w:style>
  <w:style w:type="paragraph" w:styleId="Header">
    <w:name w:val="header"/>
    <w:basedOn w:val="Normal"/>
    <w:link w:val="HeaderChar"/>
    <w:uiPriority w:val="99"/>
    <w:unhideWhenUsed/>
    <w:rsid w:val="00D6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82"/>
  </w:style>
  <w:style w:type="paragraph" w:styleId="Footer">
    <w:name w:val="footer"/>
    <w:basedOn w:val="Normal"/>
    <w:link w:val="FooterChar"/>
    <w:uiPriority w:val="99"/>
    <w:unhideWhenUsed/>
    <w:rsid w:val="00D6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82"/>
  </w:style>
  <w:style w:type="paragraph" w:styleId="ListParagraph">
    <w:name w:val="List Paragraph"/>
    <w:basedOn w:val="Normal"/>
    <w:uiPriority w:val="34"/>
    <w:qFormat/>
    <w:rsid w:val="004E3EF0"/>
    <w:pPr>
      <w:spacing w:after="160" w:line="259" w:lineRule="auto"/>
      <w:ind w:left="720"/>
      <w:contextualSpacing/>
    </w:pPr>
  </w:style>
  <w:style w:type="paragraph" w:styleId="Title">
    <w:name w:val="Title"/>
    <w:basedOn w:val="Normal"/>
    <w:next w:val="Normal"/>
    <w:link w:val="TitleChar"/>
    <w:uiPriority w:val="10"/>
    <w:qFormat/>
    <w:rsid w:val="004E3EF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F0"/>
    <w:rPr>
      <w:rFonts w:asciiTheme="majorHAnsi" w:eastAsiaTheme="majorEastAsia" w:hAnsiTheme="majorHAnsi" w:cstheme="majorBidi"/>
      <w:spacing w:val="-10"/>
      <w:kern w:val="28"/>
      <w:sz w:val="56"/>
      <w:szCs w:val="56"/>
    </w:rPr>
  </w:style>
  <w:style w:type="paragraph" w:styleId="NoSpacing">
    <w:name w:val="No Spacing"/>
    <w:uiPriority w:val="1"/>
    <w:qFormat/>
    <w:rsid w:val="00591881"/>
    <w:pPr>
      <w:spacing w:after="0" w:line="240" w:lineRule="auto"/>
    </w:pPr>
  </w:style>
  <w:style w:type="character" w:styleId="UnresolvedMention">
    <w:name w:val="Unresolved Mention"/>
    <w:basedOn w:val="DefaultParagraphFont"/>
    <w:uiPriority w:val="99"/>
    <w:semiHidden/>
    <w:unhideWhenUsed/>
    <w:rsid w:val="00B1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el.ps.membersuite.com/events/ViewEvent.aspx?contextID=e386dc0a-0078-c8eb-80e6-0b489aa923d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att.com/en-US/group-booking/SAVRD/G-GC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yatt.com/en-US/group-booking/SAVRD/G-GCAS" TargetMode="External"/><Relationship Id="rId4" Type="http://schemas.openxmlformats.org/officeDocument/2006/relationships/webSettings" Target="webSettings.xml"/><Relationship Id="rId9" Type="http://schemas.openxmlformats.org/officeDocument/2006/relationships/hyperlink" Target="https://www.hyatt.com/en-US/group-booking/SAVRS/G-GC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1967</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Mellor, Philip</dc:creator>
  <cp:lastModifiedBy>Sarah Burbach</cp:lastModifiedBy>
  <cp:revision>2</cp:revision>
  <cp:lastPrinted>2025-05-11T17:55:00Z</cp:lastPrinted>
  <dcterms:created xsi:type="dcterms:W3CDTF">2025-08-27T19:09:00Z</dcterms:created>
  <dcterms:modified xsi:type="dcterms:W3CDTF">2025-08-27T19:09:00Z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1cd09455-c9c4-4c61-a5da-dbc8b1472ae4</vt:lpwstr>
  </property>
</Properties>
</file>