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February 2025 ENROLLMENT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Board Meeting on March 10, 2025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PRESENTOR: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Danielle Hudson, Superintendent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POLICY ISSUE/ SITUATION: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Discuss February 2025 Enrollment for CES and CMHS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RECOMMENDATION: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Review enrollment for February 2025; CES received 2 students and lost 0; CMHS received_2 students and lost 4. We had 6 students that returned from homeschooled &amp; 2 of which enrolled in Charter schools. Overall enrollment has </w:t>
      </w:r>
      <w:r w:rsidDel="00000000" w:rsidR="00000000" w:rsidRPr="00000000">
        <w:rPr>
          <w:highlight w:val="yellow"/>
          <w:rtl w:val="0"/>
        </w:rPr>
        <w:t xml:space="preserve">increased/</w:t>
      </w:r>
      <w:r w:rsidDel="00000000" w:rsidR="00000000" w:rsidRPr="00000000">
        <w:rPr>
          <w:rtl w:val="0"/>
        </w:rPr>
        <w:t xml:space="preserve">decreased for the 2024-25 school year.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Enrollment spreadsheet</w:t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APGvuq5wwL0ea74nt97zixbWyw==">CgMxLjA4AHIhMXJrZ3lhT0V1WVlMZXBWanl2STZyemttaXZoM29jc0dy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