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0"/>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1" w:name="_Int_AuhuuoUV"/>
      <w:r w:rsidRPr="4614C3A4">
        <w:rPr>
          <w:rFonts w:ascii="Open Sans" w:hAnsi="Open Sans" w:cs="Open Sans"/>
          <w:sz w:val="20"/>
          <w:szCs w:val="20"/>
        </w:rPr>
        <w:t>LEA</w:t>
      </w:r>
      <w:bookmarkEnd w:id="1"/>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2" w:name="_Int_MW6SE8Ue"/>
      <w:r w:rsidRPr="367460DD">
        <w:rPr>
          <w:sz w:val="20"/>
          <w:szCs w:val="20"/>
        </w:rPr>
        <w:t>different from</w:t>
      </w:r>
      <w:bookmarkEnd w:id="2"/>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3" w:name="_Int_hH2skF2k"/>
      <w:r w:rsidR="00C06BCD" w:rsidRPr="4614C3A4">
        <w:rPr>
          <w:rFonts w:ascii="Open Sans" w:hAnsi="Open Sans" w:cs="Open Sans"/>
          <w:sz w:val="20"/>
          <w:szCs w:val="20"/>
        </w:rPr>
        <w:t>CDC</w:t>
      </w:r>
      <w:bookmarkEnd w:id="3"/>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56CF8473"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873A0B">
        <w:rPr>
          <w:rFonts w:ascii="Open Sans" w:hAnsi="Open Sans" w:cs="Open Sans"/>
          <w:sz w:val="20"/>
          <w:szCs w:val="20"/>
        </w:rPr>
        <w:t xml:space="preserve"> </w:t>
      </w:r>
      <w:r w:rsidR="00873A0B" w:rsidRPr="00873A0B">
        <w:rPr>
          <w:rFonts w:ascii="Open Sans" w:hAnsi="Open Sans" w:cs="Open Sans"/>
          <w:sz w:val="20"/>
          <w:szCs w:val="20"/>
          <w:u w:val="single"/>
        </w:rPr>
        <w:t>Huntingdon Special School District</w:t>
      </w:r>
      <w:r w:rsidR="006D78ED">
        <w:tab/>
      </w:r>
    </w:p>
    <w:p w14:paraId="60DAE3ED" w14:textId="3C0F26E6"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263077">
        <w:rPr>
          <w:rFonts w:ascii="Open Sans" w:hAnsi="Open Sans" w:cs="Open Sans"/>
          <w:sz w:val="20"/>
          <w:szCs w:val="20"/>
          <w:u w:val="single"/>
        </w:rPr>
        <w:t>August 16</w:t>
      </w:r>
      <w:r w:rsidR="00873A0B">
        <w:rPr>
          <w:rFonts w:ascii="Open Sans" w:hAnsi="Open Sans" w:cs="Open Sans"/>
          <w:sz w:val="20"/>
          <w:szCs w:val="20"/>
          <w:u w:val="single"/>
        </w:rPr>
        <w:t>, 2022</w:t>
      </w:r>
    </w:p>
    <w:p w14:paraId="03D69ED2" w14:textId="5592B76F"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13997440" w14:textId="75A9E1DD" w:rsidR="00BE3E61" w:rsidRPr="00493901" w:rsidRDefault="00873A0B" w:rsidP="782C1AF9">
            <w:pPr>
              <w:rPr>
                <w:rFonts w:ascii="Open Sans" w:hAnsi="Open Sans" w:cs="Open Sans"/>
                <w:sz w:val="20"/>
                <w:szCs w:val="20"/>
              </w:rPr>
            </w:pPr>
            <w:r>
              <w:rPr>
                <w:rFonts w:ascii="Open Sans" w:hAnsi="Open Sans" w:cs="Open Sans"/>
                <w:sz w:val="20"/>
                <w:szCs w:val="20"/>
              </w:rPr>
              <w:t>The Continuity of Services plan continues to be communicated with our school administration, staff, and board members in monthly meetings. Parents continue to have the opportunity to collaborate and provide input in the revised plan</w:t>
            </w:r>
            <w:r w:rsidR="00EF31BB">
              <w:rPr>
                <w:rFonts w:ascii="Open Sans" w:hAnsi="Open Sans" w:cs="Open Sans"/>
                <w:sz w:val="20"/>
                <w:szCs w:val="20"/>
              </w:rPr>
              <w:t xml:space="preserve"> through public board meetings, and correspondence with the Director of Schools. The district and school websites continue to make readily available opportunities for public comment and updates to ESSER plans. </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765F6A26" w14:textId="3B120572" w:rsidR="00BE3E61" w:rsidRPr="00493901" w:rsidRDefault="00EF31BB" w:rsidP="782C1AF9">
            <w:pPr>
              <w:rPr>
                <w:rFonts w:ascii="Open Sans" w:hAnsi="Open Sans" w:cs="Open Sans"/>
                <w:sz w:val="20"/>
                <w:szCs w:val="20"/>
              </w:rPr>
            </w:pPr>
            <w:r>
              <w:t xml:space="preserve">The school district and the local health department have communicated about the district's approach in contact tracing and communicating with families. At this time, each school is not conducting contact </w:t>
            </w:r>
            <w:proofErr w:type="spellStart"/>
            <w:r>
              <w:t>tracing</w:t>
            </w:r>
            <w:proofErr w:type="spellEnd"/>
            <w:r>
              <w:t xml:space="preserve"> and reporting to our local health department. The regional coordinator and school district administration communicate if any changes are made or need to be considered based on the current health environment of the community/school or if any recommendations are shared from the CDC.</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lastRenderedPageBreak/>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1F876E37" w14:textId="62976B16" w:rsidR="006D78ED" w:rsidRPr="00493901" w:rsidRDefault="00EF31BB" w:rsidP="00BF0E88">
            <w:pPr>
              <w:autoSpaceDE w:val="0"/>
              <w:autoSpaceDN w:val="0"/>
              <w:adjustRightInd w:val="0"/>
              <w:rPr>
                <w:rFonts w:ascii="Open Sans" w:hAnsi="Open Sans" w:cs="Open Sans"/>
                <w:i/>
                <w:iCs/>
                <w:sz w:val="20"/>
                <w:szCs w:val="20"/>
              </w:rPr>
            </w:pPr>
            <w:r>
              <w:t>In the event students who are medically fragile and are at high risk from the virus, school administration is flexible and working with families on a case by case basis. Additional accommodations that are considered or are currently implemented include alternative schedules, alternate seating, frequent breaks for hand washing, outdoor activities, social distancing, and abbreviated schedules. The district carefully looks at each child's unique needs and responds with constant communication with parents and open thinking to ideas to assure student safety.</w:t>
            </w: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1A96EC6B" w14:textId="6D6EE018" w:rsidR="006D78ED" w:rsidRPr="00493901" w:rsidRDefault="00EF31BB" w:rsidP="00BF0E88">
            <w:pPr>
              <w:autoSpaceDE w:val="0"/>
              <w:autoSpaceDN w:val="0"/>
              <w:adjustRightInd w:val="0"/>
              <w:rPr>
                <w:rFonts w:ascii="Open Sans" w:hAnsi="Open Sans" w:cs="Open Sans"/>
                <w:i/>
                <w:iCs/>
                <w:sz w:val="20"/>
                <w:szCs w:val="20"/>
              </w:rPr>
            </w:pPr>
            <w:r>
              <w:t>Classrooms and other areas of the schools are set up to support physical distancing if feasible. There are areas of the schools were 6 feet of physical distancing is not possible due to student enrollment.</w:t>
            </w: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7ADEDBB6" w14:textId="46015FE9" w:rsidR="006D78ED" w:rsidRPr="00493901" w:rsidRDefault="00EF31BB" w:rsidP="00BF0E88">
            <w:pPr>
              <w:autoSpaceDE w:val="0"/>
              <w:autoSpaceDN w:val="0"/>
              <w:adjustRightInd w:val="0"/>
              <w:rPr>
                <w:rFonts w:ascii="Open Sans" w:hAnsi="Open Sans" w:cs="Open Sans"/>
                <w:i/>
                <w:iCs/>
                <w:sz w:val="20"/>
                <w:szCs w:val="20"/>
              </w:rPr>
            </w:pPr>
            <w:r>
              <w:t>Hand washing is encouraged in all our schools. Hand sanitizer is placed in the entrance of our schools, restrooms, and high traffic areas for staff and students to access. Additionally, stakeholders at any school event or who occupy school facilities during the school day, have access to facilities and supplies to assure hand washing. When feasible, outdoor activities are encouraged to assure respiratory etiquette. HVAC units have been cleaned prior to the start of school and proper maintenance is conducted to promote respiratory etiquette.</w:t>
            </w: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69C0F984" w14:textId="14FF4993" w:rsidR="006D78ED" w:rsidRPr="00493901" w:rsidRDefault="00EF31BB" w:rsidP="00BF0E88">
            <w:pPr>
              <w:autoSpaceDE w:val="0"/>
              <w:autoSpaceDN w:val="0"/>
              <w:adjustRightInd w:val="0"/>
              <w:rPr>
                <w:rFonts w:ascii="Open Sans" w:hAnsi="Open Sans" w:cs="Open Sans"/>
                <w:i/>
                <w:iCs/>
                <w:sz w:val="20"/>
                <w:szCs w:val="20"/>
              </w:rPr>
            </w:pPr>
            <w:r>
              <w:t>All facilities are cleaned on a daily basis. Additionally, as school officials monitor the spread of the COVID-19 virus, additional deep cleaning is provided to help mitigate the spread of the virus in targeted areas of concern. When appropriate, improved ventilation is considered by the opening of windows, outdoor activities, and proper maintenance of HVAC units.</w:t>
            </w: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173BE974">
        <w:trPr>
          <w:trHeight w:val="864"/>
        </w:trPr>
        <w:tc>
          <w:tcPr>
            <w:tcW w:w="4675" w:type="dxa"/>
          </w:tcPr>
          <w:p w14:paraId="17CF02D9" w14:textId="0E50841A" w:rsidR="006D78ED" w:rsidRPr="00493901" w:rsidRDefault="00EF31BB" w:rsidP="00BF0E88">
            <w:pPr>
              <w:autoSpaceDE w:val="0"/>
              <w:autoSpaceDN w:val="0"/>
              <w:adjustRightInd w:val="0"/>
              <w:rPr>
                <w:rFonts w:ascii="Open Sans" w:hAnsi="Open Sans" w:cs="Open Sans"/>
                <w:i/>
                <w:iCs/>
                <w:sz w:val="20"/>
                <w:szCs w:val="20"/>
              </w:rPr>
            </w:pPr>
            <w:r>
              <w:t xml:space="preserve">At this time, the district is not contact tracing in the event of positive cases. In the event the decision is made to contact trace, school administration and school nurses are responsible for contact tracing in the event of positive cases. Contact tracing reviews seating charts of classrooms and conducts interviews if needed to determine who potentially is a close contact to a positive case. Teachers, support staff, bus drivers, etc. are responsible for maintaining seating charts. One contact tracing is complete, families are contacted by school administration and nurses to provide them specific information regarding isolation or quarantine. Each school will maintain an accurate documentation of current cases and quarantines that includes all staff and students. </w:t>
            </w: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5CD13835" w14:textId="4251C0C1" w:rsidR="006D78ED" w:rsidRPr="00493901" w:rsidRDefault="00EF31BB" w:rsidP="00BF0E88">
            <w:pPr>
              <w:autoSpaceDE w:val="0"/>
              <w:autoSpaceDN w:val="0"/>
              <w:adjustRightInd w:val="0"/>
              <w:rPr>
                <w:rFonts w:ascii="Open Sans" w:hAnsi="Open Sans" w:cs="Open Sans"/>
                <w:i/>
                <w:iCs/>
                <w:sz w:val="20"/>
                <w:szCs w:val="20"/>
              </w:rPr>
            </w:pPr>
            <w:r>
              <w:t>Testing is encouraged by school officials in the event students are experiencing symptoms with the virus. Additionally, all school visitors are reminded of the essential screening questions prior to entering the school environment. When symptoms occur, the school communicates with families and is precautionary in mitigating the spread of the virus.</w:t>
            </w: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493901" w14:paraId="1257B165" w14:textId="77777777" w:rsidTr="173BE974">
        <w:trPr>
          <w:trHeight w:val="864"/>
        </w:trPr>
        <w:tc>
          <w:tcPr>
            <w:tcW w:w="4675" w:type="dxa"/>
          </w:tcPr>
          <w:p w14:paraId="5E93EE8E" w14:textId="2847EC45" w:rsidR="006D78ED" w:rsidRPr="00493901" w:rsidRDefault="00EF31BB" w:rsidP="00BF0E88">
            <w:pPr>
              <w:autoSpaceDE w:val="0"/>
              <w:autoSpaceDN w:val="0"/>
              <w:adjustRightInd w:val="0"/>
              <w:rPr>
                <w:rFonts w:ascii="Open Sans" w:hAnsi="Open Sans" w:cs="Open Sans"/>
                <w:i/>
                <w:iCs/>
                <w:sz w:val="20"/>
                <w:szCs w:val="20"/>
              </w:rPr>
            </w:pPr>
            <w:r>
              <w:t xml:space="preserve">Vaccinations are readily available in our community. Free vaccinations have been offered to our educators, staff, and students </w:t>
            </w:r>
            <w:r w:rsidR="006F1C0E">
              <w:t>who</w:t>
            </w:r>
            <w:bookmarkStart w:id="4" w:name="_GoBack"/>
            <w:bookmarkEnd w:id="4"/>
            <w:r>
              <w:t xml:space="preserve"> are eligible. Our school system has been in contact with local medical providers regarding vaccination opportunities and has communicated with all employees.</w:t>
            </w: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D78ED" w:rsidRPr="00493901" w14:paraId="389BD02E" w14:textId="77777777" w:rsidTr="173BE974">
        <w:trPr>
          <w:trHeight w:val="864"/>
        </w:trPr>
        <w:tc>
          <w:tcPr>
            <w:tcW w:w="4675" w:type="dxa"/>
          </w:tcPr>
          <w:p w14:paraId="5A7BED43" w14:textId="2FD9F65D" w:rsidR="006D78ED" w:rsidRPr="00493901" w:rsidRDefault="00EF31BB" w:rsidP="00BF0E88">
            <w:pPr>
              <w:autoSpaceDE w:val="0"/>
              <w:autoSpaceDN w:val="0"/>
              <w:adjustRightInd w:val="0"/>
              <w:rPr>
                <w:rFonts w:ascii="Open Sans" w:hAnsi="Open Sans" w:cs="Open Sans"/>
                <w:i/>
                <w:iCs/>
                <w:sz w:val="20"/>
                <w:szCs w:val="20"/>
              </w:rPr>
            </w:pPr>
            <w:r>
              <w:rPr>
                <w:rFonts w:ascii="Open Sans" w:hAnsi="Open Sans" w:cs="Open Sans"/>
                <w:i/>
                <w:iCs/>
                <w:sz w:val="20"/>
                <w:szCs w:val="20"/>
              </w:rPr>
              <w:lastRenderedPageBreak/>
              <w:t>The decision to wear masks is left to each individual.</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041E19E6" w:rsidR="006D78ED" w:rsidRPr="00493901" w:rsidRDefault="00EF31BB" w:rsidP="006D78ED">
            <w:pPr>
              <w:autoSpaceDE w:val="0"/>
              <w:autoSpaceDN w:val="0"/>
              <w:adjustRightInd w:val="0"/>
              <w:rPr>
                <w:rFonts w:ascii="Open Sans" w:hAnsi="Open Sans" w:cs="Open Sans"/>
                <w:sz w:val="20"/>
                <w:szCs w:val="20"/>
              </w:rPr>
            </w:pPr>
            <w:r>
              <w:t xml:space="preserve">The ultimate goal is to assure continuity of services to all our students regardless of any potential disruptions to the school calendar or daily schedule. Our food service will be accommodating and has previously offered meals to all our students whether they are physically present or remotely learning off our schools' campuses due to return to school protocols. The social, emotional, and mental health is at the forefront of our focus as we continue to assess our students' well-being. We have prioritized as a district staff to have consistent checks on all our students that are intentional and foster appropriate relationships. For example, whether a student is on campus or having to learn remotely, we will continue to provide welfare checks on all our students on a daily basis to make sure their needs are met and their questions are answered. Counseling services are provided and utilized when it is determined as </w:t>
            </w:r>
            <w:proofErr w:type="gramStart"/>
            <w:r>
              <w:t>an</w:t>
            </w:r>
            <w:proofErr w:type="gramEnd"/>
            <w:r>
              <w:t xml:space="preserve"> needed intervention for our students. The district has partnered with a local counseling service to assist with incorporating trauma-informed best practices to assist with our students' mental health, staff training, and advocacy for promoting students' health. Academically, we want to assure students always have academic supports and continuity of learning. Our staff continues to be trained in specific technology to allow us to expand our reach and impact on students whether physically present or remote. A technology supervisor who is responsible for staff training, management of student platforms, and assessing technology effectiveness has been hired to assist with how technology is used a tool to support students and staff academically. Additionally, we are continuing to provide before and after-school tutoring to prevent learning loss and to assure student learning is being accelerated.</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93F4" w14:textId="77777777" w:rsidR="00EB1926" w:rsidRDefault="00EB1926" w:rsidP="000D7E9E">
      <w:pPr>
        <w:spacing w:after="0" w:line="240" w:lineRule="auto"/>
      </w:pPr>
      <w:r>
        <w:separator/>
      </w:r>
    </w:p>
  </w:endnote>
  <w:endnote w:type="continuationSeparator" w:id="0">
    <w:p w14:paraId="04915BEB" w14:textId="77777777" w:rsidR="00EB1926" w:rsidRDefault="00EB1926" w:rsidP="000D7E9E">
      <w:pPr>
        <w:spacing w:after="0" w:line="240" w:lineRule="auto"/>
      </w:pPr>
      <w:r>
        <w:continuationSeparator/>
      </w:r>
    </w:p>
  </w:endnote>
  <w:endnote w:type="continuationNotice" w:id="1">
    <w:p w14:paraId="61B261BF" w14:textId="77777777" w:rsidR="00EB1926" w:rsidRDefault="00EB1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E1D327"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E111" w14:textId="77777777" w:rsidR="00EB1926" w:rsidRDefault="00EB1926" w:rsidP="000D7E9E">
      <w:pPr>
        <w:spacing w:after="0" w:line="240" w:lineRule="auto"/>
      </w:pPr>
      <w:r>
        <w:separator/>
      </w:r>
    </w:p>
  </w:footnote>
  <w:footnote w:type="continuationSeparator" w:id="0">
    <w:p w14:paraId="6DB2DED1" w14:textId="77777777" w:rsidR="00EB1926" w:rsidRDefault="00EB1926" w:rsidP="000D7E9E">
      <w:pPr>
        <w:spacing w:after="0" w:line="240" w:lineRule="auto"/>
      </w:pPr>
      <w:r>
        <w:continuationSeparator/>
      </w:r>
    </w:p>
  </w:footnote>
  <w:footnote w:type="continuationNotice" w:id="1">
    <w:p w14:paraId="5DBC922F" w14:textId="77777777" w:rsidR="00EB1926" w:rsidRDefault="00EB1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96988"/>
    <w:rsid w:val="000D7E9E"/>
    <w:rsid w:val="000F4863"/>
    <w:rsid w:val="000F7C25"/>
    <w:rsid w:val="00116541"/>
    <w:rsid w:val="001200C4"/>
    <w:rsid w:val="00146D99"/>
    <w:rsid w:val="0016120D"/>
    <w:rsid w:val="001952C5"/>
    <w:rsid w:val="00196483"/>
    <w:rsid w:val="001A4F30"/>
    <w:rsid w:val="001D32F4"/>
    <w:rsid w:val="001D6C5B"/>
    <w:rsid w:val="001F7468"/>
    <w:rsid w:val="00213479"/>
    <w:rsid w:val="00223829"/>
    <w:rsid w:val="00236673"/>
    <w:rsid w:val="00242ED5"/>
    <w:rsid w:val="0024473D"/>
    <w:rsid w:val="00263077"/>
    <w:rsid w:val="002E0809"/>
    <w:rsid w:val="002F126E"/>
    <w:rsid w:val="002F73F8"/>
    <w:rsid w:val="00370F5E"/>
    <w:rsid w:val="003859C3"/>
    <w:rsid w:val="003C61A2"/>
    <w:rsid w:val="003D06AD"/>
    <w:rsid w:val="004332C4"/>
    <w:rsid w:val="00483C49"/>
    <w:rsid w:val="00493901"/>
    <w:rsid w:val="004E4FCF"/>
    <w:rsid w:val="004F2F59"/>
    <w:rsid w:val="00550296"/>
    <w:rsid w:val="00590AB2"/>
    <w:rsid w:val="005A4D21"/>
    <w:rsid w:val="005D6FEC"/>
    <w:rsid w:val="005E1E89"/>
    <w:rsid w:val="0064605A"/>
    <w:rsid w:val="006879FC"/>
    <w:rsid w:val="006A3BE2"/>
    <w:rsid w:val="006C32EA"/>
    <w:rsid w:val="006D78ED"/>
    <w:rsid w:val="006F1C0E"/>
    <w:rsid w:val="006F7174"/>
    <w:rsid w:val="007025BC"/>
    <w:rsid w:val="00706238"/>
    <w:rsid w:val="00711A11"/>
    <w:rsid w:val="00722F1A"/>
    <w:rsid w:val="007411A2"/>
    <w:rsid w:val="0077152A"/>
    <w:rsid w:val="00776594"/>
    <w:rsid w:val="007924E0"/>
    <w:rsid w:val="007976B8"/>
    <w:rsid w:val="007C0467"/>
    <w:rsid w:val="007C64A1"/>
    <w:rsid w:val="007F2524"/>
    <w:rsid w:val="00806807"/>
    <w:rsid w:val="00807254"/>
    <w:rsid w:val="00812E35"/>
    <w:rsid w:val="00832507"/>
    <w:rsid w:val="00852FC7"/>
    <w:rsid w:val="00873A0B"/>
    <w:rsid w:val="008B41A8"/>
    <w:rsid w:val="008C793A"/>
    <w:rsid w:val="008F0BD8"/>
    <w:rsid w:val="00910E06"/>
    <w:rsid w:val="00934128"/>
    <w:rsid w:val="009575C2"/>
    <w:rsid w:val="00963D55"/>
    <w:rsid w:val="00987F12"/>
    <w:rsid w:val="00A00529"/>
    <w:rsid w:val="00A009F8"/>
    <w:rsid w:val="00A241FF"/>
    <w:rsid w:val="00A6242A"/>
    <w:rsid w:val="00A736C0"/>
    <w:rsid w:val="00A737B8"/>
    <w:rsid w:val="00A76668"/>
    <w:rsid w:val="00AA446B"/>
    <w:rsid w:val="00AA7FE0"/>
    <w:rsid w:val="00AC4ED9"/>
    <w:rsid w:val="00B05A99"/>
    <w:rsid w:val="00B707B9"/>
    <w:rsid w:val="00BC4D34"/>
    <w:rsid w:val="00BD42D7"/>
    <w:rsid w:val="00BE3E61"/>
    <w:rsid w:val="00BE66F2"/>
    <w:rsid w:val="00BF0E88"/>
    <w:rsid w:val="00C06BCD"/>
    <w:rsid w:val="00C25ED8"/>
    <w:rsid w:val="00C6586B"/>
    <w:rsid w:val="00CC6E6B"/>
    <w:rsid w:val="00CF10D1"/>
    <w:rsid w:val="00D07A1C"/>
    <w:rsid w:val="00D15462"/>
    <w:rsid w:val="00D16EA6"/>
    <w:rsid w:val="00D468F2"/>
    <w:rsid w:val="00D524C8"/>
    <w:rsid w:val="00D860CC"/>
    <w:rsid w:val="00DA36BB"/>
    <w:rsid w:val="00DC40A7"/>
    <w:rsid w:val="00DD669C"/>
    <w:rsid w:val="00DE77AE"/>
    <w:rsid w:val="00E300C8"/>
    <w:rsid w:val="00E4600E"/>
    <w:rsid w:val="00E8076C"/>
    <w:rsid w:val="00E973DE"/>
    <w:rsid w:val="00E97F48"/>
    <w:rsid w:val="00EA7154"/>
    <w:rsid w:val="00EB1926"/>
    <w:rsid w:val="00EC04B0"/>
    <w:rsid w:val="00ED4112"/>
    <w:rsid w:val="00EE3351"/>
    <w:rsid w:val="00EF31BB"/>
    <w:rsid w:val="00F23B39"/>
    <w:rsid w:val="00F35EDE"/>
    <w:rsid w:val="00F66161"/>
    <w:rsid w:val="00F6630E"/>
    <w:rsid w:val="00F94EE8"/>
    <w:rsid w:val="00FA5987"/>
    <w:rsid w:val="00FB1816"/>
    <w:rsid w:val="00FC45F7"/>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Jonathan Kee</cp:lastModifiedBy>
  <cp:revision>2</cp:revision>
  <dcterms:created xsi:type="dcterms:W3CDTF">2022-09-14T16:27:00Z</dcterms:created>
  <dcterms:modified xsi:type="dcterms:W3CDTF">2022-09-14T16:27:00Z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