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i w:val="0"/>
          <w:color w:val="0B2C7A"/>
          <w:sz w:val="44"/>
        </w:rPr>
        <w:t>HICKMAN COUNTY SCHOOLS</w:t>
      </w:r>
    </w:p>
    <w:p>
      <w:pPr>
        <w:spacing w:after="360"/>
        <w:jc w:val="center"/>
      </w:pPr>
      <w:r>
        <w:rPr>
          <w:rFonts w:ascii="Calibri" w:hAnsi="Calibri"/>
          <w:b w:val="0"/>
          <w:i/>
          <w:color w:val="DC3545"/>
          <w:sz w:val="24"/>
        </w:rPr>
        <w:t>Strategic Plan | July 2026</w:t>
        <w:br/>
        <w:t>"Every Student. Every Day."</w:t>
      </w:r>
    </w:p>
    <w:p>
      <w:pPr>
        <w:keepNext/>
        <w:spacing w:before="360" w:after="120"/>
      </w:pPr>
      <w:r>
        <w:rPr>
          <w:rFonts w:ascii="Calibri" w:hAnsi="Calibri"/>
          <w:b/>
          <w:i w:val="0"/>
          <w:color w:val="0B2C7A"/>
          <w:sz w:val="32"/>
        </w:rPr>
        <w:t>Mission &amp; Vision</w:t>
      </w:r>
    </w:p>
    <w:p>
      <w:r>
        <w:rPr>
          <w:b/>
          <w:color w:val="0B2C7A"/>
        </w:rPr>
        <w:t xml:space="preserve">Mission: </w:t>
      </w:r>
      <w:r>
        <w:rPr>
          <w:rFonts w:ascii="Calibri" w:hAnsi="Calibri"/>
          <w:b w:val="0"/>
          <w:i w:val="0"/>
          <w:color w:val="282828"/>
          <w:sz w:val="22"/>
        </w:rPr>
        <w:t>The Hickman County School System serves to inspire every student, every day, so that each is prepared for a successful future.</w:t>
      </w:r>
    </w:p>
    <w:p>
      <w:r>
        <w:rPr>
          <w:b/>
          <w:color w:val="0B2C7A"/>
        </w:rPr>
        <w:t xml:space="preserve">Vision: </w:t>
      </w:r>
      <w:r>
        <w:rPr>
          <w:rFonts w:ascii="Calibri" w:hAnsi="Calibri"/>
          <w:b w:val="0"/>
          <w:i w:val="0"/>
          <w:color w:val="282828"/>
          <w:sz w:val="22"/>
        </w:rPr>
        <w:t>Our vision is to inspire excellence in every student by developing their full potential through high expectations and unwavering commitment.</w:t>
      </w:r>
    </w:p>
    <w:p>
      <w:pPr>
        <w:keepNext/>
        <w:spacing w:before="360" w:after="120"/>
      </w:pPr>
      <w:r>
        <w:rPr>
          <w:rFonts w:ascii="Calibri" w:hAnsi="Calibri"/>
          <w:b/>
          <w:i w:val="0"/>
          <w:color w:val="0B2C7A"/>
          <w:sz w:val="32"/>
        </w:rPr>
        <w:t>Core Values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Our schools must be safe, welcoming, and positive for students, parents, teachers, and community.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We encourage and support growth without limitations for all students through strong academics, the arts, career/technical, and extracurriculars.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We strive to develop well-rounded citizens who will contribute to the community and the world with integrity.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We endeavor to cultivate a strong character in each student to prepare them for post-secondary success.</w:t>
      </w:r>
    </w:p>
    <w:p>
      <w:pPr>
        <w:keepNext/>
        <w:spacing w:before="360" w:after="120"/>
      </w:pPr>
      <w:r>
        <w:rPr>
          <w:rFonts w:ascii="Calibri" w:hAnsi="Calibri"/>
          <w:b/>
          <w:i w:val="0"/>
          <w:color w:val="0B2C7A"/>
          <w:sz w:val="32"/>
        </w:rPr>
        <w:t>Priority Focus Areas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Student Achievement (Literacy, Math, ACT, TVAAS Growth)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Attendance (Chronic Absenteeism)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Instructional Rigor (Standards-Based Instruction &amp; HQIM)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Career and Technical Education (CTE) Sustainment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Staff Recruitment and Retention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School Culture &amp; Behavior Supports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Community Engagement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Enrollment &amp; Revenue Growth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Facilities &amp; Financial Sustainability</w:t>
      </w:r>
    </w:p>
    <w:p>
      <w:pPr>
        <w:keepNext/>
        <w:spacing w:before="360" w:after="120"/>
      </w:pPr>
      <w:r>
        <w:rPr>
          <w:rFonts w:ascii="Calibri" w:hAnsi="Calibri"/>
          <w:b/>
          <w:i w:val="0"/>
          <w:color w:val="0B2C7A"/>
          <w:sz w:val="32"/>
        </w:rPr>
        <w:t>Goal 1: Invest in students.</w:t>
      </w:r>
    </w:p>
    <w:p>
      <w:pPr>
        <w:keepNext/>
        <w:spacing w:before="240" w:after="80"/>
      </w:pPr>
      <w:r>
        <w:rPr>
          <w:rFonts w:ascii="Calibri" w:hAnsi="Calibri"/>
          <w:b/>
          <w:i w:val="0"/>
          <w:color w:val="0B2C7A"/>
          <w:sz w:val="26"/>
        </w:rPr>
        <w:t>Action Steps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Strengthen literacy achievement.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Renewed focus on explicit foundational skills and literacy instruction grounded in board-approved curricula.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Strengthen Tier I literacy instruction.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Early identification and intervention for struggling readers.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Increased emphasis on comprehension and writing stamina.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Targeted small-group interventions during RTI time.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Coaching support for instructional consistency across classrooms.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Apply literacy-in-content strategies across subjects.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Improve mathematics instruction.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Support early mathematics foundations.</w:t>
      </w:r>
    </w:p>
    <w:p>
      <w:pPr>
        <w:pStyle w:val="ListBullet"/>
        <w:spacing w:before="40" w:after="40"/>
        <w:ind w:left="1080"/>
      </w:pPr>
      <w:r>
        <w:rPr>
          <w:rFonts w:ascii="Calibri" w:hAnsi="Calibri"/>
          <w:b w:val="0"/>
          <w:i w:val="0"/>
          <w:color w:val="282828"/>
          <w:sz w:val="22"/>
        </w:rPr>
        <w:t>Focus on number sense, problem-solving, and math fluency.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Intervention supports embedded in daily instruction.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Professional development focused on conceptual understanding and pacing.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Support effective PLCs.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Leverage ongoing support through participation in the TDOE Math Implementation Network.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Alignment of instructional resources and pacing guides.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Data-driven regrouping during RTI blocks.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Monitor and sustain Career and Technical Education (CTE) offerings.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Evaluate enrollment, graduation requirements, and program viability.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Ensure existing pathways remain strong and aligned to student needs.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Strengthen post-secondary readiness.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Maintain targeted supports for foundational high school courses.</w:t>
      </w:r>
    </w:p>
    <w:p>
      <w:pPr>
        <w:pStyle w:val="ListBullet"/>
        <w:spacing w:before="40" w:after="40"/>
        <w:ind w:left="1080"/>
      </w:pPr>
      <w:r>
        <w:rPr>
          <w:rFonts w:ascii="Calibri" w:hAnsi="Calibri"/>
          <w:b w:val="0"/>
          <w:i w:val="0"/>
          <w:color w:val="282828"/>
          <w:sz w:val="22"/>
        </w:rPr>
        <w:t>Focus on writing, problem-solving, and content literacy.</w:t>
      </w:r>
    </w:p>
    <w:p>
      <w:pPr>
        <w:pStyle w:val="ListBullet"/>
        <w:spacing w:before="40" w:after="40"/>
        <w:ind w:left="1080"/>
      </w:pPr>
      <w:r>
        <w:rPr>
          <w:rFonts w:ascii="Calibri" w:hAnsi="Calibri"/>
          <w:b w:val="0"/>
          <w:i w:val="0"/>
          <w:color w:val="282828"/>
          <w:sz w:val="22"/>
        </w:rPr>
        <w:t>Monitor subgroup performance for equity.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Utilize multiple benchmark assessments and student data trackers to monitor progress.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Increase student readiness and performance on the ACT through focused preparation, interventions, and support.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Increase student academic growth as measured by TVAAS through data-driven instruction and intervention.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Reduce chronic absenteeism.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Implement attendance incentives.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Family outreach.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Targeted supports.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Implement and sustain comprehensive behavior supports across all schools, including ongoing training for staff and administrators.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Include behavior modification program for grades K-5.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Increase opportunities for real-world learning by integrating authentic, applied learning experiences into instruction.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Recognize student achievement by highlighting a Student of the Month at each school board meeting.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Emphasize citizenship and character development as a shared responsibility across all schools.</w:t>
      </w:r>
    </w:p>
    <w:p>
      <w:pPr>
        <w:keepNext/>
        <w:spacing w:before="360" w:after="120"/>
      </w:pPr>
      <w:r>
        <w:rPr>
          <w:rFonts w:ascii="Calibri" w:hAnsi="Calibri"/>
          <w:b/>
          <w:i w:val="0"/>
          <w:color w:val="0B2C7A"/>
          <w:sz w:val="32"/>
        </w:rPr>
        <w:t>Goal 2: Support all staff.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Recruit and retain highly effective teachers.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Competitive compensation / salary schedules.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Supportive working conditions.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Regular recognitions / staff appreciations.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Reestablish new teacher PLCs and mentorships.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Provide targeted support for both traditionally prepared educators and those entering through non-traditional pathways.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Utilize district leadership as informal mentors in addition to school-based mentoring supports.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Strengthen the use of data to drive instructional decisions and increase accountability at all levels.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Utilize student data trackers.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Integrate student data chats.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Implement and support the use of high-quality instructional materials (HQIM) across all content areas.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Share best practices district-wide.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Monitor consistency across schools and classrooms.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Ensure consistent implementation of standards-based instruction.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Focus on rigor and alignment.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Ensure vertical alignment of academic standards between grade levels.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Expand cross-grade PLC collaboration.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Reestablish consistent, intentional PLC structures at the high school level.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Provide high-quality, effective professional development.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Aligned to district instructional priorities.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Explore more opportunities for differentiated, personalized training.</w:t>
      </w:r>
    </w:p>
    <w:p>
      <w:pPr>
        <w:pStyle w:val="ListBullet"/>
        <w:spacing w:before="40" w:after="40"/>
        <w:ind w:left="1080"/>
      </w:pPr>
      <w:r>
        <w:rPr>
          <w:rFonts w:ascii="Calibri" w:hAnsi="Calibri"/>
          <w:b w:val="0"/>
          <w:i w:val="0"/>
          <w:color w:val="282828"/>
          <w:sz w:val="22"/>
        </w:rPr>
        <w:t>Provide data training on achievement and growth models.</w:t>
      </w:r>
    </w:p>
    <w:p>
      <w:pPr>
        <w:pStyle w:val="ListBullet"/>
        <w:spacing w:before="40" w:after="40"/>
        <w:ind w:left="1080"/>
      </w:pPr>
      <w:r>
        <w:rPr>
          <w:rFonts w:ascii="Calibri" w:hAnsi="Calibri"/>
          <w:b w:val="0"/>
          <w:i w:val="0"/>
          <w:color w:val="282828"/>
          <w:sz w:val="22"/>
        </w:rPr>
        <w:t>Focus on lesson preparation, instructional delivery, and pacing.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Include high-quality PD options for administrators.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Provide targeted training for administrators on effective behavior management and student support systems.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Fully leverage the expertise of two district-wide instructional coaches to provide consistent, high-quality instructional support across all grade levels and content areas.</w:t>
      </w:r>
    </w:p>
    <w:p>
      <w:pPr>
        <w:keepNext/>
        <w:spacing w:before="360" w:after="120"/>
      </w:pPr>
      <w:r>
        <w:rPr>
          <w:rFonts w:ascii="Calibri" w:hAnsi="Calibri"/>
          <w:b/>
          <w:i w:val="0"/>
          <w:color w:val="0B2C7A"/>
          <w:sz w:val="32"/>
        </w:rPr>
        <w:t>Goal 3: Embrace our community.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Actively market district schools and programs to strengthen public awareness and community confidence.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Expand the district's presence and engagement through consistent and strategic use of social media.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Strengthen communication with the local newspaper to highlight student, staff, and school successes.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Develop podcasts and/or video content to share district initiatives, achievements, and stories.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Maintain an updated, user-friendly district website as a primary communication tool.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Intentionally "tell the district's story" by highlighting positive outcomes and growth.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Lead/host "State of the Schools" community meetings.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Partner with community leaders to strengthen school-community connections.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Improve relationships and communication with local officials to strengthen partnerships and advocacy.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Expand partnerships with community organizations to support students and schools.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Engage local and state politicians to advocate for district needs and priorities.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Provide coordinated services and supports to families to address barriers to student success.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Promote "shop local" initiatives to support local funding and community investment in schools.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Develop mentoring opportunities for students through community and business partnerships.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Expand work-based learning (WBL) and internship opportunities for high school students.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Implement district-wide community projects and engagements to promote literacy.</w:t>
      </w:r>
    </w:p>
    <w:p>
      <w:pPr>
        <w:keepNext/>
        <w:spacing w:before="360" w:after="120"/>
      </w:pPr>
      <w:r>
        <w:rPr>
          <w:rFonts w:ascii="Calibri" w:hAnsi="Calibri"/>
          <w:b/>
          <w:i w:val="0"/>
          <w:color w:val="0B2C7A"/>
          <w:sz w:val="32"/>
        </w:rPr>
        <w:t>Goal 4: Focus on facilities and funding.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Upgrade district facilities to ensure safe, functional, and modern learning environments.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Ensure continued preventive maintenance to extend the life of district facilities.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Develop and implement a comprehensive maintenance and facilities matrix to guide planning and prioritization.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Maintain high standards of cleanliness and organization across all buildings.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Ensure all schools have color coded safety maps in place.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Take appropriate actions to ensure student safety in all school facilities.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Identify and pursue additional revenue opportunities beyond traditional funding streams.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Explore opportunities related to cell phone towers or similar leases on district property.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Explore bus advertising as a potential revenue source for the district.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Pursue grants to support instructional programs, facilities, and student services.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Increase student enrollment to strengthen district revenue and long-term sustainability.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Expand and strengthen the district's virtual school offerings to provide flexible learning options for students and families.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Market district programs and offerings to homeschool families as an alternative pathway to public education.</w:t>
      </w:r>
    </w:p>
    <w:p>
      <w:pPr>
        <w:pStyle w:val="ListBullet"/>
        <w:spacing w:before="40" w:after="40"/>
        <w:ind w:left="720"/>
      </w:pPr>
      <w:r>
        <w:rPr>
          <w:rFonts w:ascii="Calibri" w:hAnsi="Calibri"/>
          <w:b w:val="0"/>
          <w:i w:val="0"/>
          <w:color w:val="282828"/>
          <w:sz w:val="22"/>
        </w:rPr>
        <w:t>Explore before- and after-school childcare options to support recruitment and retention.</w:t>
      </w:r>
    </w:p>
    <w:p>
      <w:pPr>
        <w:pStyle w:val="ListBullet"/>
        <w:spacing w:before="40" w:after="40"/>
        <w:ind w:left="360"/>
      </w:pPr>
      <w:r>
        <w:rPr>
          <w:rFonts w:ascii="Calibri" w:hAnsi="Calibri"/>
          <w:b w:val="0"/>
          <w:i w:val="0"/>
          <w:color w:val="282828"/>
          <w:sz w:val="22"/>
        </w:rPr>
        <w:t>Maintain a balanced budget while aligning financial decisions with district priorities.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