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13E9" w:rsidRDefault="000B13E9">
      <w:pPr>
        <w:pStyle w:val="BodyText"/>
        <w:spacing w:before="1"/>
        <w:rPr>
          <w:rFonts w:ascii="Times New Roman"/>
          <w:sz w:val="18"/>
        </w:rPr>
      </w:pPr>
      <w:bookmarkStart w:id="0" w:name="_GoBack"/>
      <w:bookmarkEnd w:id="0"/>
    </w:p>
    <w:p w:rsidR="000B13E9" w:rsidRDefault="004029EB">
      <w:pPr>
        <w:spacing w:before="63" w:line="482" w:lineRule="auto"/>
        <w:ind w:left="2067" w:right="217" w:hanging="1797"/>
        <w:rPr>
          <w:rFonts w:ascii="Times New Roman"/>
          <w:b/>
          <w:sz w:val="28"/>
        </w:rPr>
      </w:pPr>
      <w:r>
        <w:rPr>
          <w:rFonts w:ascii="Times New Roman"/>
          <w:b/>
          <w:color w:val="0000FF"/>
          <w:sz w:val="28"/>
        </w:rPr>
        <w:t xml:space="preserve">The 2013 Instrument, The Framework for Teaching by Charlotte Danielson </w:t>
      </w:r>
      <w:r>
        <w:rPr>
          <w:rFonts w:ascii="Times New Roman"/>
          <w:b/>
          <w:sz w:val="28"/>
        </w:rPr>
        <w:t>Teacher Evaluation: Postings and Assurances</w:t>
      </w:r>
    </w:p>
    <w:p w:rsidR="000B13E9" w:rsidRDefault="004029EB">
      <w:pPr>
        <w:spacing w:before="7"/>
        <w:ind w:left="117" w:right="324"/>
        <w:rPr>
          <w:rFonts w:ascii="Times New Roman"/>
          <w:i/>
          <w:sz w:val="24"/>
        </w:rPr>
      </w:pPr>
      <w:r>
        <w:rPr>
          <w:rFonts w:ascii="Times New Roman"/>
          <w:i/>
          <w:sz w:val="24"/>
        </w:rPr>
        <w:t xml:space="preserve">Per MCL 380.1249: Beginning with the 2016-2017 school year, a school district, intermediate school district, or public school academy shall post on its public website specific information about the evaluation tool(s) used for its performance evaluation system for teachers. Complete language (including requirements) for MCL 380.1249 can be found </w:t>
      </w:r>
      <w:r>
        <w:rPr>
          <w:rFonts w:ascii="Times New Roman"/>
          <w:i/>
          <w:color w:val="0563C1"/>
          <w:sz w:val="24"/>
          <w:u w:val="single" w:color="0563C1"/>
        </w:rPr>
        <w:t>here</w:t>
      </w:r>
      <w:r>
        <w:rPr>
          <w:rFonts w:ascii="Times New Roman"/>
          <w:i/>
          <w:sz w:val="24"/>
        </w:rPr>
        <w:t>. The contents of this documents are compliant with the law laid forth, specifically pertaining to The Framework for Teaching by Charlotte Danielson.</w:t>
      </w:r>
    </w:p>
    <w:p w:rsidR="000B13E9" w:rsidRDefault="00982392">
      <w:pPr>
        <w:pStyle w:val="BodyText"/>
        <w:spacing w:before="7"/>
        <w:rPr>
          <w:rFonts w:ascii="Times New Roman"/>
          <w:i/>
          <w:sz w:val="21"/>
        </w:rPr>
      </w:pPr>
      <w:r>
        <w:rPr>
          <w:noProof/>
        </w:rPr>
        <mc:AlternateContent>
          <mc:Choice Requires="wps">
            <w:drawing>
              <wp:anchor distT="0" distB="0" distL="0" distR="0" simplePos="0" relativeHeight="251654656" behindDoc="0" locked="0" layoutInCell="1" allowOverlap="1">
                <wp:simplePos x="0" y="0"/>
                <wp:positionH relativeFrom="page">
                  <wp:posOffset>922655</wp:posOffset>
                </wp:positionH>
                <wp:positionV relativeFrom="paragraph">
                  <wp:posOffset>186055</wp:posOffset>
                </wp:positionV>
                <wp:extent cx="5886450" cy="0"/>
                <wp:effectExtent l="8255" t="12700" r="10795" b="6350"/>
                <wp:wrapTopAndBottom/>
                <wp:docPr id="9"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8645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6201AA5D" id="Line 8" o:spid="_x0000_s1026" style="position:absolute;z-index:2516546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2.65pt,14.65pt" to="536.1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" strokeweight=".5pt">
                <w10:wrap type="topAndBottom" anchorx="page"/>
              </v:line>
            </w:pict>
          </mc:Fallback>
        </mc:AlternateContent>
      </w:r>
    </w:p>
    <w:p w:rsidR="000B13E9" w:rsidRDefault="000B13E9">
      <w:pPr>
        <w:pStyle w:val="BodyText"/>
        <w:spacing w:before="9"/>
        <w:rPr>
          <w:rFonts w:ascii="Times New Roman"/>
          <w:i/>
          <w:sz w:val="19"/>
        </w:rPr>
      </w:pPr>
    </w:p>
    <w:p w:rsidR="000B13E9" w:rsidRDefault="004029EB">
      <w:pPr>
        <w:ind w:left="117"/>
        <w:rPr>
          <w:rFonts w:ascii="Times New Roman"/>
          <w:sz w:val="24"/>
        </w:rPr>
      </w:pPr>
      <w:r>
        <w:rPr>
          <w:rFonts w:ascii="Times New Roman"/>
          <w:b/>
          <w:sz w:val="24"/>
        </w:rPr>
        <w:t xml:space="preserve">Research Base for the Evaluation Framework, Instrument, and Process </w:t>
      </w:r>
      <w:r>
        <w:rPr>
          <w:rFonts w:ascii="Times New Roman"/>
          <w:sz w:val="24"/>
        </w:rPr>
        <w:t>[Section 1249(3)(a)]</w:t>
      </w:r>
    </w:p>
    <w:p w:rsidR="000B13E9" w:rsidRDefault="000B13E9">
      <w:pPr>
        <w:pStyle w:val="BodyText"/>
        <w:spacing w:before="9"/>
        <w:rPr>
          <w:rFonts w:ascii="Times New Roman"/>
          <w:sz w:val="24"/>
        </w:rPr>
      </w:pPr>
    </w:p>
    <w:p w:rsidR="000B13E9" w:rsidRDefault="004029EB">
      <w:pPr>
        <w:pStyle w:val="BodyText"/>
        <w:spacing w:line="252" w:lineRule="auto"/>
        <w:ind w:left="117" w:right="516"/>
      </w:pPr>
      <w:r>
        <w:rPr>
          <w:color w:val="2F5496"/>
        </w:rPr>
        <w:t xml:space="preserve">First published by ASCD in 1996, </w:t>
      </w:r>
      <w:r>
        <w:rPr>
          <w:i/>
          <w:color w:val="2F5496"/>
        </w:rPr>
        <w:t xml:space="preserve">Enhancing Professional Practice: A Framework for Teaching </w:t>
      </w:r>
      <w:r>
        <w:rPr>
          <w:color w:val="2F5496"/>
        </w:rPr>
        <w:t xml:space="preserve">was an      outgrowth of the research compiled by Educational Testing Service (ETS) for the development of Praxis III: </w:t>
      </w:r>
      <w:r>
        <w:rPr>
          <w:color w:val="2F5496"/>
          <w:w w:val="103"/>
        </w:rPr>
        <w:t xml:space="preserve">Classroom </w:t>
      </w:r>
      <w:r>
        <w:rPr>
          <w:color w:val="2F5496"/>
          <w:spacing w:val="1"/>
          <w:w w:val="103"/>
        </w:rPr>
        <w:t>Performance</w:t>
      </w:r>
      <w:r>
        <w:rPr>
          <w:color w:val="2F5496"/>
          <w:w w:val="103"/>
        </w:rPr>
        <w:t xml:space="preserve"> </w:t>
      </w:r>
      <w:r>
        <w:rPr>
          <w:color w:val="2F5496"/>
          <w:spacing w:val="1"/>
          <w:w w:val="103"/>
        </w:rPr>
        <w:t>Assessments,</w:t>
      </w:r>
      <w:r>
        <w:rPr>
          <w:color w:val="2F5496"/>
          <w:w w:val="103"/>
        </w:rPr>
        <w:t xml:space="preserve"> an </w:t>
      </w:r>
      <w:r>
        <w:rPr>
          <w:color w:val="2F5496"/>
          <w:w w:val="92"/>
        </w:rPr>
        <w:t xml:space="preserve">observation-­‐based </w:t>
      </w:r>
      <w:r>
        <w:rPr>
          <w:color w:val="2F5496"/>
          <w:w w:val="103"/>
        </w:rPr>
        <w:t xml:space="preserve">evaluation of </w:t>
      </w:r>
      <w:r>
        <w:rPr>
          <w:color w:val="2F5496"/>
          <w:w w:val="85"/>
        </w:rPr>
        <w:t xml:space="preserve">first-­‐year </w:t>
      </w:r>
      <w:r>
        <w:rPr>
          <w:color w:val="2F5496"/>
          <w:w w:val="103"/>
        </w:rPr>
        <w:t xml:space="preserve">teachers used for the </w:t>
      </w:r>
      <w:r>
        <w:rPr>
          <w:color w:val="2F5496"/>
        </w:rPr>
        <w:t>purpose of licensing. The Framework extended this work by examining current research to capture the skills       of</w:t>
      </w:r>
      <w:r>
        <w:rPr>
          <w:color w:val="2F5496"/>
          <w:spacing w:val="23"/>
        </w:rPr>
        <w:t xml:space="preserve"> </w:t>
      </w:r>
      <w:r>
        <w:rPr>
          <w:color w:val="2F5496"/>
        </w:rPr>
        <w:t>teaching</w:t>
      </w:r>
      <w:r>
        <w:rPr>
          <w:color w:val="2F5496"/>
          <w:spacing w:val="23"/>
        </w:rPr>
        <w:t xml:space="preserve"> </w:t>
      </w:r>
      <w:r>
        <w:rPr>
          <w:color w:val="2F5496"/>
        </w:rPr>
        <w:t>required</w:t>
      </w:r>
      <w:r>
        <w:rPr>
          <w:color w:val="2F5496"/>
          <w:spacing w:val="24"/>
        </w:rPr>
        <w:t xml:space="preserve"> </w:t>
      </w:r>
      <w:r>
        <w:rPr>
          <w:color w:val="2F5496"/>
        </w:rPr>
        <w:t>not</w:t>
      </w:r>
      <w:r>
        <w:rPr>
          <w:color w:val="2F5496"/>
          <w:spacing w:val="23"/>
        </w:rPr>
        <w:t xml:space="preserve"> </w:t>
      </w:r>
      <w:r>
        <w:rPr>
          <w:color w:val="2F5496"/>
        </w:rPr>
        <w:t>only</w:t>
      </w:r>
      <w:r>
        <w:rPr>
          <w:color w:val="2F5496"/>
          <w:spacing w:val="23"/>
        </w:rPr>
        <w:t xml:space="preserve"> </w:t>
      </w:r>
      <w:r>
        <w:rPr>
          <w:color w:val="2F5496"/>
        </w:rPr>
        <w:t>by</w:t>
      </w:r>
      <w:r>
        <w:rPr>
          <w:color w:val="2F5496"/>
          <w:spacing w:val="23"/>
        </w:rPr>
        <w:t xml:space="preserve"> </w:t>
      </w:r>
      <w:r>
        <w:rPr>
          <w:color w:val="2F5496"/>
        </w:rPr>
        <w:t>novice</w:t>
      </w:r>
      <w:r>
        <w:rPr>
          <w:color w:val="2F5496"/>
          <w:spacing w:val="24"/>
        </w:rPr>
        <w:t xml:space="preserve"> </w:t>
      </w:r>
      <w:r>
        <w:rPr>
          <w:color w:val="2F5496"/>
        </w:rPr>
        <w:t>teachers</w:t>
      </w:r>
      <w:r>
        <w:rPr>
          <w:color w:val="2F5496"/>
          <w:spacing w:val="23"/>
        </w:rPr>
        <w:t xml:space="preserve"> </w:t>
      </w:r>
      <w:r>
        <w:rPr>
          <w:color w:val="2F5496"/>
        </w:rPr>
        <w:t>but</w:t>
      </w:r>
      <w:r>
        <w:rPr>
          <w:color w:val="2F5496"/>
          <w:spacing w:val="23"/>
        </w:rPr>
        <w:t xml:space="preserve"> </w:t>
      </w:r>
      <w:r>
        <w:rPr>
          <w:color w:val="2F5496"/>
        </w:rPr>
        <w:t>by</w:t>
      </w:r>
      <w:r>
        <w:rPr>
          <w:color w:val="2F5496"/>
          <w:spacing w:val="23"/>
        </w:rPr>
        <w:t xml:space="preserve"> </w:t>
      </w:r>
      <w:r>
        <w:rPr>
          <w:color w:val="2F5496"/>
        </w:rPr>
        <w:t>experienced</w:t>
      </w:r>
      <w:r>
        <w:rPr>
          <w:color w:val="2F5496"/>
          <w:spacing w:val="26"/>
        </w:rPr>
        <w:t xml:space="preserve"> </w:t>
      </w:r>
      <w:r>
        <w:rPr>
          <w:color w:val="2F5496"/>
        </w:rPr>
        <w:t>practitioners</w:t>
      </w:r>
      <w:r>
        <w:rPr>
          <w:color w:val="2F5496"/>
          <w:spacing w:val="23"/>
        </w:rPr>
        <w:t xml:space="preserve"> </w:t>
      </w:r>
      <w:r>
        <w:rPr>
          <w:color w:val="2F5496"/>
        </w:rPr>
        <w:t>as</w:t>
      </w:r>
      <w:r>
        <w:rPr>
          <w:color w:val="2F5496"/>
          <w:spacing w:val="23"/>
        </w:rPr>
        <w:t xml:space="preserve"> </w:t>
      </w:r>
      <w:r>
        <w:rPr>
          <w:color w:val="2F5496"/>
        </w:rPr>
        <w:t>well.</w:t>
      </w:r>
    </w:p>
    <w:p w:rsidR="000B13E9" w:rsidRDefault="000B13E9">
      <w:pPr>
        <w:pStyle w:val="BodyText"/>
        <w:rPr>
          <w:sz w:val="21"/>
        </w:rPr>
      </w:pPr>
    </w:p>
    <w:p w:rsidR="000B13E9" w:rsidRDefault="004029EB">
      <w:pPr>
        <w:pStyle w:val="BodyText"/>
        <w:spacing w:before="1" w:line="252" w:lineRule="auto"/>
        <w:ind w:left="117" w:right="362"/>
      </w:pPr>
      <w:r>
        <w:rPr>
          <w:color w:val="2F5496"/>
          <w:w w:val="105"/>
        </w:rPr>
        <w:t xml:space="preserve">Each component of the Framework for Teaching has been validated by the Measures of Effective Teaching (MET) study. The Framework for Teaching has been found to have predictive validity. Further research around the </w:t>
      </w:r>
      <w:proofErr w:type="spellStart"/>
      <w:r>
        <w:rPr>
          <w:color w:val="2F5496"/>
          <w:w w:val="105"/>
        </w:rPr>
        <w:t>FfT</w:t>
      </w:r>
      <w:proofErr w:type="spellEnd"/>
      <w:r>
        <w:rPr>
          <w:color w:val="2F5496"/>
          <w:w w:val="105"/>
        </w:rPr>
        <w:t xml:space="preserve"> can be found on The Danielson Group’s website. See the Chicago and Cincinnati studies.</w:t>
      </w:r>
    </w:p>
    <w:p w:rsidR="000B13E9" w:rsidRDefault="00982392">
      <w:pPr>
        <w:pStyle w:val="BodyText"/>
        <w:spacing w:before="6"/>
        <w:rPr>
          <w:sz w:val="18"/>
        </w:rPr>
      </w:pPr>
      <w:r>
        <w:rPr>
          <w:noProof/>
        </w:rPr>
        <mc:AlternateContent>
          <mc:Choice Requires="wps">
            <w:drawing>
              <wp:anchor distT="0" distB="0" distL="0" distR="0" simplePos="0" relativeHeight="251655680" behindDoc="0" locked="0" layoutInCell="1" allowOverlap="1">
                <wp:simplePos x="0" y="0"/>
                <wp:positionH relativeFrom="page">
                  <wp:posOffset>913130</wp:posOffset>
                </wp:positionH>
                <wp:positionV relativeFrom="paragraph">
                  <wp:posOffset>171450</wp:posOffset>
                </wp:positionV>
                <wp:extent cx="5886450" cy="0"/>
                <wp:effectExtent l="8255" t="12065" r="10795" b="6985"/>
                <wp:wrapTopAndBottom/>
                <wp:docPr id="8"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8645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53336502" id="Line 7" o:spid="_x0000_s1026" style="position:absolute;z-index:2516556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1.9pt,13.5pt" to="535.4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" strokeweight=".5pt">
                <w10:wrap type="topAndBottom" anchorx="page"/>
              </v:line>
            </w:pict>
          </mc:Fallback>
        </mc:AlternateContent>
      </w:r>
    </w:p>
    <w:p w:rsidR="000B13E9" w:rsidRDefault="000B13E9">
      <w:pPr>
        <w:pStyle w:val="BodyText"/>
        <w:spacing w:before="4"/>
        <w:rPr>
          <w:sz w:val="19"/>
        </w:rPr>
      </w:pPr>
    </w:p>
    <w:p w:rsidR="000B13E9" w:rsidRDefault="004029EB">
      <w:pPr>
        <w:ind w:left="117" w:right="217"/>
        <w:rPr>
          <w:rFonts w:ascii="Times New Roman"/>
          <w:sz w:val="24"/>
        </w:rPr>
      </w:pPr>
      <w:r>
        <w:rPr>
          <w:rFonts w:ascii="Times New Roman"/>
          <w:b/>
          <w:sz w:val="24"/>
        </w:rPr>
        <w:t xml:space="preserve">Identification and Qualifications of the Author(s) </w:t>
      </w:r>
      <w:r>
        <w:rPr>
          <w:rFonts w:ascii="Times New Roman"/>
          <w:sz w:val="24"/>
        </w:rPr>
        <w:t>[Section 1249(3)(b)]</w:t>
      </w:r>
    </w:p>
    <w:p w:rsidR="000B13E9" w:rsidRDefault="000B13E9">
      <w:pPr>
        <w:pStyle w:val="BodyText"/>
        <w:spacing w:before="9"/>
        <w:rPr>
          <w:rFonts w:ascii="Times New Roman"/>
          <w:sz w:val="24"/>
        </w:rPr>
      </w:pPr>
    </w:p>
    <w:p w:rsidR="000B13E9" w:rsidRDefault="004029EB">
      <w:pPr>
        <w:pStyle w:val="BodyText"/>
        <w:spacing w:line="254" w:lineRule="auto"/>
        <w:ind w:left="117" w:right="455"/>
      </w:pPr>
      <w:r>
        <w:rPr>
          <w:color w:val="2F5496"/>
          <w:w w:val="105"/>
        </w:rPr>
        <w:t>The Framework for Teaching was developed by Charlotte Danielson, a recognized expert in the area of teacher effectiveness. Her work focuses on the use of a framework, a clear description of practice, to promote professional conversations and learning. She advises State Education Departments and National Ministries and Departments of Education, both in the United States and overseas.</w:t>
      </w:r>
    </w:p>
    <w:p w:rsidR="000B13E9" w:rsidRDefault="000B13E9">
      <w:pPr>
        <w:pStyle w:val="BodyText"/>
        <w:spacing w:before="5"/>
      </w:pPr>
    </w:p>
    <w:p w:rsidR="000B13E9" w:rsidRDefault="004029EB">
      <w:pPr>
        <w:pStyle w:val="BodyText"/>
        <w:spacing w:before="1" w:line="252" w:lineRule="auto"/>
        <w:ind w:left="117" w:right="195"/>
      </w:pPr>
      <w:r>
        <w:rPr>
          <w:color w:val="2F5496"/>
          <w:w w:val="105"/>
        </w:rPr>
        <w:t xml:space="preserve">Charlotte Danielson graduated from Cornell with a degree in history, and earned her master’s in philosophy, politics and economics at Oxford University. In 1978, she earned another </w:t>
      </w:r>
      <w:r w:rsidR="00982392">
        <w:rPr>
          <w:color w:val="2F5496"/>
          <w:w w:val="105"/>
        </w:rPr>
        <w:t>masters</w:t>
      </w:r>
      <w:r>
        <w:rPr>
          <w:color w:val="2F5496"/>
          <w:w w:val="105"/>
        </w:rPr>
        <w:t xml:space="preserve"> from Rutgers in educational administration and supervision. After college, she worked as a junior economist in think tanks and policy organizations. While working in Washington, D.C., she got to know some of the children living on </w:t>
      </w:r>
      <w:r>
        <w:rPr>
          <w:color w:val="2F5496"/>
          <w:w w:val="103"/>
        </w:rPr>
        <w:t xml:space="preserve">her </w:t>
      </w:r>
      <w:r>
        <w:rPr>
          <w:color w:val="2F5496"/>
          <w:w w:val="85"/>
        </w:rPr>
        <w:t xml:space="preserve">inner-­‐city </w:t>
      </w:r>
      <w:r>
        <w:rPr>
          <w:color w:val="2F5496"/>
          <w:w w:val="103"/>
        </w:rPr>
        <w:t xml:space="preserve">block – and that’s what motivated her to choose teaching over economics. She obtained her </w:t>
      </w:r>
      <w:r>
        <w:rPr>
          <w:color w:val="2F5496"/>
          <w:w w:val="105"/>
        </w:rPr>
        <w:t>teaching credentials and worked her way up the spectrum from teacher to curriculum director, then on to staff developer and program designer in several different locations, including ETS in Princeton. She has developed and trained extensively in the areas of teacher observation and assessments.</w:t>
      </w:r>
    </w:p>
    <w:p w:rsidR="000B13E9" w:rsidRDefault="00982392">
      <w:pPr>
        <w:pStyle w:val="BodyText"/>
        <w:rPr>
          <w:sz w:val="17"/>
        </w:rPr>
      </w:pPr>
      <w:r>
        <w:rPr>
          <w:noProof/>
        </w:rPr>
        <mc:AlternateContent>
          <mc:Choice Requires="wps">
            <w:drawing>
              <wp:anchor distT="0" distB="0" distL="0" distR="0" simplePos="0" relativeHeight="251656704" behindDoc="0" locked="0" layoutInCell="1" allowOverlap="1">
                <wp:simplePos x="0" y="0"/>
                <wp:positionH relativeFrom="page">
                  <wp:posOffset>913130</wp:posOffset>
                </wp:positionH>
                <wp:positionV relativeFrom="paragraph">
                  <wp:posOffset>160020</wp:posOffset>
                </wp:positionV>
                <wp:extent cx="5886450" cy="0"/>
                <wp:effectExtent l="8255" t="13970" r="10795" b="5080"/>
                <wp:wrapTopAndBottom/>
                <wp:docPr id="7"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8645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5D830565" id="Line 6" o:spid="_x0000_s1026" style="position:absolute;z-index:2516567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1.9pt,12.6pt" to="535.4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" strokeweight=".5pt">
                <w10:wrap type="topAndBottom" anchorx="page"/>
              </v:line>
            </w:pict>
          </mc:Fallback>
        </mc:AlternateContent>
      </w:r>
    </w:p>
    <w:p w:rsidR="000B13E9" w:rsidRDefault="000B13E9">
      <w:pPr>
        <w:rPr>
          <w:sz w:val="17"/>
        </w:rPr>
        <w:sectPr w:rsidR="000B13E9">
          <w:headerReference w:type="default" r:id="rId6"/>
          <w:footerReference w:type="default" r:id="rId7"/>
          <w:type w:val="continuous"/>
          <w:pgSz w:w="12240" w:h="15840"/>
          <w:pgMar w:top="2500" w:right="1360" w:bottom="1380" w:left="1320" w:header="718" w:footer="1180" w:gutter="0"/>
          <w:cols w:space="720"/>
        </w:sectPr>
      </w:pPr>
    </w:p>
    <w:p w:rsidR="000B13E9" w:rsidRDefault="000B13E9">
      <w:pPr>
        <w:pStyle w:val="BodyText"/>
        <w:spacing w:before="6"/>
        <w:rPr>
          <w:sz w:val="16"/>
        </w:rPr>
      </w:pPr>
    </w:p>
    <w:p w:rsidR="000B13E9" w:rsidRDefault="004029EB">
      <w:pPr>
        <w:spacing w:before="69"/>
        <w:ind w:left="137" w:right="516"/>
        <w:rPr>
          <w:rFonts w:ascii="Times New Roman"/>
          <w:sz w:val="24"/>
        </w:rPr>
      </w:pPr>
      <w:r>
        <w:rPr>
          <w:rFonts w:ascii="Times New Roman"/>
          <w:b/>
          <w:sz w:val="24"/>
        </w:rPr>
        <w:t xml:space="preserve">Evidence of Reliability, Validity, and Efficacy </w:t>
      </w:r>
      <w:r>
        <w:rPr>
          <w:rFonts w:ascii="Times New Roman"/>
          <w:sz w:val="24"/>
        </w:rPr>
        <w:t>[Section 1249(3)(c)]</w:t>
      </w:r>
    </w:p>
    <w:p w:rsidR="000B13E9" w:rsidRDefault="000B13E9">
      <w:pPr>
        <w:pStyle w:val="BodyText"/>
        <w:spacing w:before="1"/>
        <w:rPr>
          <w:rFonts w:ascii="Times New Roman"/>
          <w:sz w:val="25"/>
        </w:rPr>
      </w:pPr>
    </w:p>
    <w:p w:rsidR="000B13E9" w:rsidRDefault="004029EB">
      <w:pPr>
        <w:pStyle w:val="BodyText"/>
        <w:ind w:left="137" w:right="516"/>
        <w:rPr>
          <w:rFonts w:ascii="Arial"/>
        </w:rPr>
      </w:pPr>
      <w:r>
        <w:rPr>
          <w:rFonts w:ascii="Arial"/>
          <w:color w:val="0000FF"/>
          <w:w w:val="105"/>
          <w:u w:val="single" w:color="0000FF"/>
        </w:rPr>
        <w:t>https://</w:t>
      </w:r>
      <w:hyperlink r:id="rId8">
        <w:r>
          <w:rPr>
            <w:rFonts w:ascii="Arial"/>
            <w:color w:val="0000FF"/>
            <w:w w:val="105"/>
            <w:u w:val="single" w:color="0000FF"/>
          </w:rPr>
          <w:t>www.danielsongroup.org/research/</w:t>
        </w:r>
      </w:hyperlink>
    </w:p>
    <w:p w:rsidR="000B13E9" w:rsidRDefault="00982392">
      <w:pPr>
        <w:pStyle w:val="BodyText"/>
        <w:spacing w:before="6"/>
        <w:rPr>
          <w:rFonts w:ascii="Arial"/>
        </w:rPr>
      </w:pPr>
      <w:r>
        <w:rPr>
          <w:noProof/>
        </w:rPr>
        <mc:AlternateContent>
          <mc:Choice Requires="wps">
            <w:drawing>
              <wp:anchor distT="0" distB="0" distL="0" distR="0" simplePos="0" relativeHeight="251657728" behindDoc="0" locked="0" layoutInCell="1" allowOverlap="1">
                <wp:simplePos x="0" y="0"/>
                <wp:positionH relativeFrom="page">
                  <wp:posOffset>913130</wp:posOffset>
                </wp:positionH>
                <wp:positionV relativeFrom="paragraph">
                  <wp:posOffset>177800</wp:posOffset>
                </wp:positionV>
                <wp:extent cx="5886450" cy="0"/>
                <wp:effectExtent l="8255" t="12700" r="10795" b="6350"/>
                <wp:wrapTopAndBottom/>
                <wp:docPr id="6"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8645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55DD01E4" id="Line 5" o:spid="_x0000_s1026" style="position:absolute;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1.9pt,14pt" to="535.4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" strokeweight=".5pt">
                <w10:wrap type="topAndBottom" anchorx="page"/>
              </v:line>
            </w:pict>
          </mc:Fallback>
        </mc:AlternateContent>
      </w:r>
    </w:p>
    <w:p w:rsidR="000B13E9" w:rsidRDefault="000B13E9">
      <w:pPr>
        <w:pStyle w:val="BodyText"/>
        <w:spacing w:before="10"/>
        <w:rPr>
          <w:rFonts w:ascii="Arial"/>
          <w:sz w:val="14"/>
        </w:rPr>
      </w:pPr>
    </w:p>
    <w:p w:rsidR="000B13E9" w:rsidRDefault="004029EB">
      <w:pPr>
        <w:spacing w:before="69"/>
        <w:ind w:left="137" w:right="516"/>
        <w:rPr>
          <w:rFonts w:ascii="Times New Roman"/>
          <w:sz w:val="24"/>
        </w:rPr>
      </w:pPr>
      <w:r>
        <w:rPr>
          <w:rFonts w:ascii="Times New Roman"/>
          <w:b/>
          <w:sz w:val="24"/>
        </w:rPr>
        <w:t xml:space="preserve">Evaluation Framework and Rubric </w:t>
      </w:r>
      <w:r>
        <w:rPr>
          <w:rFonts w:ascii="Times New Roman"/>
          <w:sz w:val="24"/>
        </w:rPr>
        <w:t>[Section 1249(3)(d)]</w:t>
      </w:r>
    </w:p>
    <w:p w:rsidR="000B13E9" w:rsidRDefault="000B13E9">
      <w:pPr>
        <w:pStyle w:val="BodyText"/>
        <w:spacing w:before="1"/>
        <w:rPr>
          <w:rFonts w:ascii="Times New Roman"/>
          <w:sz w:val="25"/>
        </w:rPr>
      </w:pPr>
    </w:p>
    <w:p w:rsidR="000B13E9" w:rsidRDefault="004029EB">
      <w:pPr>
        <w:pStyle w:val="BodyText"/>
        <w:ind w:left="137" w:right="516"/>
        <w:rPr>
          <w:rFonts w:ascii="Arial"/>
        </w:rPr>
      </w:pPr>
      <w:r>
        <w:rPr>
          <w:rFonts w:ascii="Arial"/>
          <w:color w:val="0000FF"/>
          <w:w w:val="105"/>
          <w:u w:val="single" w:color="0000FF"/>
        </w:rPr>
        <w:t>https://</w:t>
      </w:r>
      <w:hyperlink r:id="rId9">
        <w:r>
          <w:rPr>
            <w:rFonts w:ascii="Arial"/>
            <w:color w:val="0000FF"/>
            <w:w w:val="105"/>
            <w:u w:val="single" w:color="0000FF"/>
          </w:rPr>
          <w:t>www.danielsongroup.org/framework/</w:t>
        </w:r>
      </w:hyperlink>
    </w:p>
    <w:p w:rsidR="000B13E9" w:rsidRDefault="00982392">
      <w:pPr>
        <w:pStyle w:val="BodyText"/>
        <w:spacing w:before="3"/>
        <w:rPr>
          <w:rFonts w:ascii="Arial"/>
        </w:rPr>
      </w:pPr>
      <w:r>
        <w:rPr>
          <w:noProof/>
        </w:rPr>
        <mc:AlternateContent>
          <mc:Choice Requires="wps">
            <w:drawing>
              <wp:anchor distT="0" distB="0" distL="0" distR="0" simplePos="0" relativeHeight="251658752" behindDoc="0" locked="0" layoutInCell="1" allowOverlap="1">
                <wp:simplePos x="0" y="0"/>
                <wp:positionH relativeFrom="page">
                  <wp:posOffset>913130</wp:posOffset>
                </wp:positionH>
                <wp:positionV relativeFrom="paragraph">
                  <wp:posOffset>175895</wp:posOffset>
                </wp:positionV>
                <wp:extent cx="5886450" cy="0"/>
                <wp:effectExtent l="8255" t="10160" r="10795" b="8890"/>
                <wp:wrapTopAndBottom/>
                <wp:docPr id="5"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8645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7C82D0F7" id="Line 4" o:spid="_x0000_s1026" style="position:absolute;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1.9pt,13.85pt" to="535.4pt,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" strokeweight=".5pt">
                <w10:wrap type="topAndBottom" anchorx="page"/>
              </v:line>
            </w:pict>
          </mc:Fallback>
        </mc:AlternateContent>
      </w:r>
    </w:p>
    <w:p w:rsidR="000B13E9" w:rsidRDefault="000B13E9">
      <w:pPr>
        <w:pStyle w:val="BodyText"/>
        <w:spacing w:before="8"/>
        <w:rPr>
          <w:rFonts w:ascii="Arial"/>
          <w:sz w:val="14"/>
        </w:rPr>
      </w:pPr>
    </w:p>
    <w:p w:rsidR="000B13E9" w:rsidRDefault="004029EB">
      <w:pPr>
        <w:spacing w:before="69"/>
        <w:ind w:left="137" w:right="516"/>
        <w:rPr>
          <w:rFonts w:ascii="Times New Roman"/>
          <w:sz w:val="24"/>
        </w:rPr>
      </w:pPr>
      <w:r>
        <w:rPr>
          <w:rFonts w:ascii="Times New Roman"/>
          <w:b/>
          <w:sz w:val="24"/>
        </w:rPr>
        <w:t xml:space="preserve">Description of Process for Conducting Classroom Observations, Collecting Evidence, Conducting Evaluation Conferences, Developing Performance Ratings, and Developing Performance Improvement Plans </w:t>
      </w:r>
      <w:r>
        <w:rPr>
          <w:rFonts w:ascii="Times New Roman"/>
          <w:sz w:val="24"/>
        </w:rPr>
        <w:t>[Section 1249(3)(e)]</w:t>
      </w:r>
    </w:p>
    <w:p w:rsidR="000B13E9" w:rsidRDefault="000B13E9">
      <w:pPr>
        <w:pStyle w:val="BodyText"/>
        <w:spacing w:before="9"/>
        <w:rPr>
          <w:rFonts w:ascii="Times New Roman"/>
          <w:sz w:val="24"/>
        </w:rPr>
      </w:pPr>
    </w:p>
    <w:p w:rsidR="000B13E9" w:rsidRDefault="004029EB">
      <w:pPr>
        <w:pStyle w:val="BodyText"/>
        <w:spacing w:line="252" w:lineRule="auto"/>
        <w:ind w:left="137" w:right="287"/>
      </w:pPr>
      <w:r>
        <w:rPr>
          <w:color w:val="2F5496"/>
        </w:rPr>
        <w:t>An evaluation process is determined by local guidelines and decisions.</w:t>
      </w:r>
      <w:r>
        <w:rPr>
          <w:color w:val="2F5496"/>
          <w:w w:val="103"/>
        </w:rPr>
        <w:t xml:space="preserve"> </w:t>
      </w:r>
      <w:r>
        <w:rPr>
          <w:color w:val="2F5496"/>
          <w:spacing w:val="1"/>
          <w:w w:val="103"/>
        </w:rPr>
        <w:t>Observers,</w:t>
      </w:r>
      <w:r>
        <w:rPr>
          <w:color w:val="2F5496"/>
          <w:w w:val="103"/>
        </w:rPr>
        <w:t xml:space="preserve"> working jointly with </w:t>
      </w:r>
      <w:r>
        <w:rPr>
          <w:color w:val="2F5496"/>
        </w:rPr>
        <w:t xml:space="preserve">teachers, examine the evidence against critical attributes that distinguish levels of performance. This collaborative process supports the determination of a rating based on the preponderance of evidence. </w:t>
      </w:r>
      <w:r w:rsidR="00982392">
        <w:rPr>
          <w:color w:val="2F5496"/>
        </w:rPr>
        <w:t xml:space="preserve">We </w:t>
      </w:r>
      <w:r w:rsidR="00982392">
        <w:rPr>
          <w:color w:val="2F5496"/>
          <w:spacing w:val="1"/>
          <w:w w:val="103"/>
        </w:rPr>
        <w:t>promote</w:t>
      </w:r>
      <w:r>
        <w:rPr>
          <w:color w:val="2F5496"/>
          <w:w w:val="103"/>
        </w:rPr>
        <w:t xml:space="preserve"> the use of evidence in collaborative </w:t>
      </w:r>
      <w:r>
        <w:rPr>
          <w:color w:val="2F5496"/>
          <w:w w:val="68"/>
        </w:rPr>
        <w:t>pre-­</w:t>
      </w:r>
      <w:r w:rsidR="00982392">
        <w:rPr>
          <w:color w:val="2F5496"/>
          <w:w w:val="68"/>
        </w:rPr>
        <w:t>‐ and</w:t>
      </w:r>
      <w:r>
        <w:rPr>
          <w:color w:val="2F5496"/>
          <w:w w:val="103"/>
        </w:rPr>
        <w:t xml:space="preserve"> </w:t>
      </w:r>
      <w:r>
        <w:rPr>
          <w:color w:val="2F5496"/>
          <w:w w:val="91"/>
        </w:rPr>
        <w:t xml:space="preserve">post-­‐observation </w:t>
      </w:r>
      <w:r w:rsidR="00982392">
        <w:rPr>
          <w:color w:val="2F5496"/>
          <w:w w:val="103"/>
        </w:rPr>
        <w:t>conferences focused</w:t>
      </w:r>
      <w:r w:rsidR="00982392">
        <w:rPr>
          <w:color w:val="2F5496"/>
        </w:rPr>
        <w:t xml:space="preserve"> on</w:t>
      </w:r>
      <w:r>
        <w:rPr>
          <w:color w:val="2F5496"/>
          <w:spacing w:val="24"/>
        </w:rPr>
        <w:t xml:space="preserve"> </w:t>
      </w:r>
      <w:r>
        <w:rPr>
          <w:color w:val="2F5496"/>
        </w:rPr>
        <w:t>growth.</w:t>
      </w:r>
    </w:p>
    <w:p w:rsidR="000B13E9" w:rsidRDefault="000B13E9">
      <w:pPr>
        <w:pStyle w:val="BodyText"/>
        <w:rPr>
          <w:sz w:val="21"/>
        </w:rPr>
      </w:pPr>
    </w:p>
    <w:p w:rsidR="000B13E9" w:rsidRDefault="00982392">
      <w:pPr>
        <w:pStyle w:val="BodyText"/>
        <w:spacing w:before="4"/>
        <w:rPr>
          <w:sz w:val="18"/>
        </w:rPr>
      </w:pPr>
      <w:r>
        <w:rPr>
          <w:noProof/>
        </w:rPr>
        <mc:AlternateContent>
          <mc:Choice Requires="wps">
            <w:drawing>
              <wp:anchor distT="0" distB="0" distL="0" distR="0" simplePos="0" relativeHeight="251659776" behindDoc="0" locked="0" layoutInCell="1" allowOverlap="1">
                <wp:simplePos x="0" y="0"/>
                <wp:positionH relativeFrom="page">
                  <wp:posOffset>913130</wp:posOffset>
                </wp:positionH>
                <wp:positionV relativeFrom="paragraph">
                  <wp:posOffset>170180</wp:posOffset>
                </wp:positionV>
                <wp:extent cx="5886450" cy="0"/>
                <wp:effectExtent l="8255" t="9525" r="10795" b="9525"/>
                <wp:wrapTopAndBottom/>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8645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46067FBC" id="Line 3" o:spid="_x0000_s1026" style="position:absolute;z-index:2516597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1.9pt,13.4pt" to="535.4pt,1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" strokeweight=".5pt">
                <w10:wrap type="topAndBottom" anchorx="page"/>
              </v:line>
            </w:pict>
          </mc:Fallback>
        </mc:AlternateContent>
      </w:r>
    </w:p>
    <w:p w:rsidR="000B13E9" w:rsidRDefault="000B13E9">
      <w:pPr>
        <w:pStyle w:val="BodyText"/>
        <w:spacing w:before="6"/>
        <w:rPr>
          <w:sz w:val="19"/>
        </w:rPr>
      </w:pPr>
    </w:p>
    <w:p w:rsidR="000B13E9" w:rsidRDefault="004029EB">
      <w:pPr>
        <w:spacing w:line="242" w:lineRule="auto"/>
        <w:ind w:left="137" w:right="949"/>
        <w:rPr>
          <w:rFonts w:ascii="Times New Roman"/>
          <w:sz w:val="24"/>
        </w:rPr>
      </w:pPr>
      <w:r>
        <w:rPr>
          <w:rFonts w:ascii="Times New Roman"/>
          <w:b/>
          <w:sz w:val="24"/>
        </w:rPr>
        <w:t xml:space="preserve">Description of Plan for Providing Evaluators and Observers with Training </w:t>
      </w:r>
      <w:r>
        <w:rPr>
          <w:rFonts w:ascii="Times New Roman"/>
          <w:sz w:val="24"/>
        </w:rPr>
        <w:t>[Section 1249(3)(f)]</w:t>
      </w:r>
    </w:p>
    <w:p w:rsidR="000B13E9" w:rsidRDefault="00982392">
      <w:pPr>
        <w:pStyle w:val="BodyText"/>
        <w:spacing w:before="7"/>
        <w:rPr>
          <w:rFonts w:ascii="Times New Roman"/>
          <w:sz w:val="24"/>
        </w:rPr>
      </w:pPr>
      <w:r>
        <w:rPr>
          <w:rFonts w:ascii="Times New Roman"/>
          <w:sz w:val="24"/>
        </w:rPr>
        <w:t xml:space="preserve">Training and support may be ongoing and based on data collected around the framework implementation. Attached is a visual and timeline of past and future training. </w:t>
      </w:r>
    </w:p>
    <w:p w:rsidR="00982392" w:rsidRDefault="00A00C5C">
      <w:pPr>
        <w:pStyle w:val="BodyText"/>
        <w:spacing w:before="7"/>
        <w:rPr>
          <w:rFonts w:ascii="Times New Roman"/>
          <w:sz w:val="24"/>
        </w:rPr>
      </w:pPr>
      <w:hyperlink r:id="rId10" w:history="1">
        <w:r w:rsidR="00982392" w:rsidRPr="00CA200B">
          <w:rPr>
            <w:rStyle w:val="Hyperlink"/>
            <w:rFonts w:ascii="Times New Roman"/>
            <w:sz w:val="24"/>
          </w:rPr>
          <w:t>https://docs.google.com/a/copesd.org/presentation/d/1gZ0Bfm3CaCy0D3783-bk3Pbf7KNTGJO8WiN0zxckw2g/edit?usp=sharing</w:t>
        </w:r>
      </w:hyperlink>
    </w:p>
    <w:p w:rsidR="00982392" w:rsidRDefault="00982392">
      <w:pPr>
        <w:pStyle w:val="BodyText"/>
        <w:spacing w:before="7"/>
        <w:rPr>
          <w:rFonts w:ascii="Times New Roman"/>
          <w:sz w:val="24"/>
        </w:rPr>
      </w:pPr>
    </w:p>
    <w:p w:rsidR="000B13E9" w:rsidRDefault="00982392">
      <w:pPr>
        <w:pStyle w:val="BodyText"/>
        <w:spacing w:before="9"/>
        <w:rPr>
          <w:sz w:val="11"/>
        </w:rPr>
      </w:pPr>
      <w:r>
        <w:rPr>
          <w:noProof/>
        </w:rPr>
        <mc:AlternateContent>
          <mc:Choice Requires="wps">
            <w:drawing>
              <wp:anchor distT="0" distB="0" distL="0" distR="0" simplePos="0" relativeHeight="251660800" behindDoc="0" locked="0" layoutInCell="1" allowOverlap="1">
                <wp:simplePos x="0" y="0"/>
                <wp:positionH relativeFrom="page">
                  <wp:posOffset>894080</wp:posOffset>
                </wp:positionH>
                <wp:positionV relativeFrom="paragraph">
                  <wp:posOffset>118745</wp:posOffset>
                </wp:positionV>
                <wp:extent cx="5886450" cy="0"/>
                <wp:effectExtent l="8255" t="8890" r="10795" b="10160"/>
                <wp:wrapTopAndBottom/>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8645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line w14:anchorId="2720A37A" id="Line 2" o:spid="_x0000_s1026" style="position:absolute;z-index:2516608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0.4pt,9.35pt" to="533.9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" strokeweight=".5pt">
                <w10:wrap type="topAndBottom" anchorx="page"/>
              </v:line>
            </w:pict>
          </mc:Fallback>
        </mc:AlternateContent>
      </w:r>
    </w:p>
    <w:sectPr w:rsidR="000B13E9">
      <w:pgSz w:w="12240" w:h="15840"/>
      <w:pgMar w:top="2500" w:right="1340" w:bottom="1380" w:left="1300" w:header="718" w:footer="118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0C5C" w:rsidRDefault="00A00C5C">
      <w:r>
        <w:separator/>
      </w:r>
    </w:p>
  </w:endnote>
  <w:endnote w:type="continuationSeparator" w:id="0">
    <w:p w:rsidR="00A00C5C" w:rsidRDefault="00A00C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13E9" w:rsidRDefault="000B13E9">
    <w:pPr>
      <w:pStyle w:val="BodyText"/>
      <w:spacing w:line="14"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0C5C" w:rsidRDefault="00A00C5C">
      <w:r>
        <w:separator/>
      </w:r>
    </w:p>
  </w:footnote>
  <w:footnote w:type="continuationSeparator" w:id="0">
    <w:p w:rsidR="00A00C5C" w:rsidRDefault="00A00C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2392" w:rsidRDefault="00982392" w:rsidP="00982392">
    <w:pPr>
      <w:pStyle w:val="BodyText"/>
      <w:spacing w:line="14" w:lineRule="auto"/>
      <w:ind w:left="2880" w:firstLine="720"/>
    </w:pPr>
  </w:p>
  <w:p w:rsidR="000B13E9" w:rsidRDefault="000B13E9" w:rsidP="00982392">
    <w:pPr>
      <w:pStyle w:val="BodyText"/>
      <w:spacing w:line="14" w:lineRule="auto"/>
      <w:ind w:left="2880" w:firstLine="72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13E9"/>
    <w:rsid w:val="000B13E9"/>
    <w:rsid w:val="001E0855"/>
    <w:rsid w:val="004029EB"/>
    <w:rsid w:val="00467DED"/>
    <w:rsid w:val="00982392"/>
    <w:rsid w:val="00A00C5C"/>
    <w:rsid w:val="00C654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1A0C682-DC76-48E4-B67B-980106E9A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982392"/>
    <w:pPr>
      <w:tabs>
        <w:tab w:val="center" w:pos="4680"/>
        <w:tab w:val="right" w:pos="9360"/>
      </w:tabs>
    </w:pPr>
  </w:style>
  <w:style w:type="character" w:customStyle="1" w:styleId="HeaderChar">
    <w:name w:val="Header Char"/>
    <w:basedOn w:val="DefaultParagraphFont"/>
    <w:link w:val="Header"/>
    <w:uiPriority w:val="99"/>
    <w:rsid w:val="00982392"/>
    <w:rPr>
      <w:rFonts w:ascii="Calibri" w:eastAsia="Calibri" w:hAnsi="Calibri" w:cs="Calibri"/>
    </w:rPr>
  </w:style>
  <w:style w:type="paragraph" w:styleId="Footer">
    <w:name w:val="footer"/>
    <w:basedOn w:val="Normal"/>
    <w:link w:val="FooterChar"/>
    <w:uiPriority w:val="99"/>
    <w:unhideWhenUsed/>
    <w:rsid w:val="00982392"/>
    <w:pPr>
      <w:tabs>
        <w:tab w:val="center" w:pos="4680"/>
        <w:tab w:val="right" w:pos="9360"/>
      </w:tabs>
    </w:pPr>
  </w:style>
  <w:style w:type="character" w:customStyle="1" w:styleId="FooterChar">
    <w:name w:val="Footer Char"/>
    <w:basedOn w:val="DefaultParagraphFont"/>
    <w:link w:val="Footer"/>
    <w:uiPriority w:val="99"/>
    <w:rsid w:val="00982392"/>
    <w:rPr>
      <w:rFonts w:ascii="Calibri" w:eastAsia="Calibri" w:hAnsi="Calibri" w:cs="Calibri"/>
    </w:rPr>
  </w:style>
  <w:style w:type="character" w:styleId="Hyperlink">
    <w:name w:val="Hyperlink"/>
    <w:basedOn w:val="DefaultParagraphFont"/>
    <w:uiPriority w:val="99"/>
    <w:unhideWhenUsed/>
    <w:rsid w:val="00982392"/>
    <w:rPr>
      <w:color w:val="0000FF" w:themeColor="hyperlink"/>
      <w:u w:val="single"/>
    </w:rPr>
  </w:style>
  <w:style w:type="paragraph" w:styleId="BalloonText">
    <w:name w:val="Balloon Text"/>
    <w:basedOn w:val="Normal"/>
    <w:link w:val="BalloonTextChar"/>
    <w:uiPriority w:val="99"/>
    <w:semiHidden/>
    <w:unhideWhenUsed/>
    <w:rsid w:val="00467DE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7DED"/>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danielsongroup.org/research/" TargetMode="Externa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yperlink" Target="https://docs.google.com/a/copesd.org/presentation/d/1gZ0Bfm3CaCy0D3783-bk3Pbf7KNTGJO8WiN0zxckw2g/edit?usp=sharing" TargetMode="External"/><Relationship Id="rId4" Type="http://schemas.openxmlformats.org/officeDocument/2006/relationships/footnotes" Target="footnotes.xml"/><Relationship Id="rId9" Type="http://schemas.openxmlformats.org/officeDocument/2006/relationships/hyperlink" Target="http://www.danielsongroup.org/framewor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642</Words>
  <Characters>3661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Lori Pearson</dc:creator>
  <cp:lastModifiedBy>Rod Fullerton</cp:lastModifiedBy>
  <cp:revision>2</cp:revision>
  <cp:lastPrinted>2016-09-20T16:18:00Z</cp:lastPrinted>
  <dcterms:created xsi:type="dcterms:W3CDTF">2016-09-26T14:20:00Z</dcterms:created>
  <dcterms:modified xsi:type="dcterms:W3CDTF">2016-09-26T14:20:00Z</dcterms:modified>
</cp:coreProperties>
</file>