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Safe Return to In-person Instruction and </w:t>
        <w:br w:type="textWrapping"/>
        <w:t xml:space="preserve">Continuity of Services Plan </w:t>
      </w:r>
    </w:p>
    <w:p w:rsidR="00000000" w:rsidDel="00000000" w:rsidP="00000000" w:rsidRDefault="00000000" w:rsidRPr="00000000" w14:paraId="00000002">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Addendum Guidance</w:t>
      </w:r>
    </w:p>
    <w:p w:rsidR="00000000" w:rsidDel="00000000" w:rsidP="00000000" w:rsidRDefault="00000000" w:rsidRPr="00000000" w14:paraId="00000003">
      <w:pPr>
        <w:rPr/>
      </w:pPr>
      <w:bookmarkStart w:colFirst="0" w:colLast="0" w:name="_heading=h.gjdgxs" w:id="0"/>
      <w:bookmarkEnd w:id="0"/>
      <w:r w:rsidDel="00000000" w:rsidR="00000000" w:rsidRPr="00000000">
        <w:rPr>
          <w:rFonts w:ascii="Open Sans" w:cs="Open Sans" w:eastAsia="Open Sans" w:hAnsi="Open Sans"/>
          <w:sz w:val="20"/>
          <w:szCs w:val="20"/>
          <w:rtl w:val="0"/>
        </w:rPr>
        <w:t xml:space="preserve">LEAs are required to update the Safe Return to In-Person Instruction and Continuity of Services Plan every six months through </w:t>
      </w:r>
      <w:r w:rsidDel="00000000" w:rsidR="00000000" w:rsidRPr="00000000">
        <w:rPr>
          <w:rFonts w:ascii="Open Sans" w:cs="Open Sans" w:eastAsia="Open Sans" w:hAnsi="Open Sans"/>
          <w:b w:val="1"/>
          <w:sz w:val="20"/>
          <w:szCs w:val="20"/>
          <w:rtl w:val="0"/>
        </w:rPr>
        <w:t xml:space="preserve">Sept. 30, 2023. </w:t>
      </w:r>
      <w:r w:rsidDel="00000000" w:rsidR="00000000" w:rsidRPr="00000000">
        <w:rPr>
          <w:rtl w:val="0"/>
        </w:rPr>
        <w:t xml:space="preserve">Each time, LEAs</w:t>
      </w:r>
      <w:r w:rsidDel="00000000" w:rsidR="00000000" w:rsidRPr="00000000">
        <w:rPr>
          <w:b w:val="1"/>
          <w:rtl w:val="0"/>
        </w:rPr>
        <w:t xml:space="preserve"> </w:t>
      </w:r>
      <w:r w:rsidDel="00000000" w:rsidR="00000000" w:rsidRPr="00000000">
        <w:rPr>
          <w:rtl w:val="0"/>
        </w:rPr>
        <w:t xml:space="preserve">must seek public input on the plan and any revisions and must take such input into account. </w:t>
      </w:r>
      <w:r w:rsidDel="00000000" w:rsidR="00000000" w:rsidRPr="00000000">
        <w:rPr>
          <w:rFonts w:ascii="Open Sans" w:cs="Open Sans" w:eastAsia="Open Sans" w:hAnsi="Open Sans"/>
          <w:sz w:val="20"/>
          <w:szCs w:val="20"/>
          <w:rtl w:val="0"/>
        </w:rPr>
        <w:t xml:space="preserve">The purpose of the plan is to keep stakeholders informed.</w:t>
      </w:r>
      <w:r w:rsidDel="00000000" w:rsidR="00000000" w:rsidRPr="00000000">
        <w:rPr>
          <w:rtl w:val="0"/>
        </w:rPr>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Every LEA should complete the addendum and upload in the LEA document library and post to the LEA’s website (February 1 and August 27).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consider the following when completing the addendum:</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LEA used multiple models of engagement offered to stakeholders. Examples may include surveys, in-person or virtual committee meetings, town hall meetings, or other inclusive engagement opportunities.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should engage all applicable groups noted in meaningful consultation during the crafting of the plan.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stakeholders engaged should represent the composition of students. For example, if students with disabilities make up 15 percent of students, then 10-20 percent of respondents should represent this subgroup.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stakeholder engagement happened prior to the development/revision of the plan.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must engage the health department in the development of the plan. This is not the same as providing the health department with COVID-19 numbers.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must explicitly address every bullet point in Question 3 regarding district policies and strategies.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require local board approval and public posting.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must update the </w:t>
      </w: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Safe Return to In-Person Instruction and Continuity of Services Plan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at least every six months through Sept. 30, 2023, seek public input on the plan and any revisions and take such input into account. All revisions must include an explanation and rationale of why the revisions were made.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All revisions must include an explanation and rationale, with meaningful public consultation, and in an understandable format The American Rescue Plan (ARP)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000000" w:rsidDel="00000000" w:rsidP="00000000" w:rsidRDefault="00000000" w:rsidRPr="00000000" w14:paraId="0000000F">
      <w:pPr>
        <w:rPr>
          <w:rFonts w:ascii="PermianSlabSerifTypeface" w:cs="PermianSlabSerifTypeface" w:eastAsia="PermianSlabSerifTypeface" w:hAnsi="PermianSlabSerifTypefac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Safe Return to In-Person Instruction and </w:t>
        <w:br w:type="textWrapping"/>
        <w:t xml:space="preserve">Continuity of Services Plan Addendum</w:t>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Elementary and Secondary School Emergency Relief 3.0 (ESSER 3.0) Fund under the American Rescue Plan (ARP) Act of 2021, Public Law 117-2, was enacted on March 11, 2021. Funding provided to states and local educational agencies (LEAs) help safely reopen and sustain the safe operation of schools and address the impact of the coronavirus pandemic on the nation’s students. </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 fall of 2021, LEAs developed and made publicly available a Safe Return to In-Person Instruction and Continuity of Services Plan. All plans were developed with meaningful public consultation with stakeholder groups. LEAs are required to update the plan every six months through September 30, 2023 and must seek public input on the plan and any revisions and must take such input into account. LEAs also must review and update their plans whenever there are significant changes to the CDC recommendations for K-12 schools and to ensure the plan is current.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following information is intended to update stakeholders and address the requirement.</w:t>
      </w:r>
    </w:p>
    <w:p w:rsidR="00000000" w:rsidDel="00000000" w:rsidP="00000000" w:rsidRDefault="00000000" w:rsidRPr="00000000" w14:paraId="00000014">
      <w:pPr>
        <w:tabs>
          <w:tab w:val="right" w:pos="10080"/>
        </w:tabs>
        <w:spacing w:after="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 Name: Grundy County Schools</w:t>
      </w:r>
    </w:p>
    <w:p w:rsidR="00000000" w:rsidDel="00000000" w:rsidP="00000000" w:rsidRDefault="00000000" w:rsidRPr="00000000" w14:paraId="00000015">
      <w:pPr>
        <w:tabs>
          <w:tab w:val="right" w:pos="10080"/>
        </w:tabs>
        <w:spacing w:after="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 January 25, 2022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engaged in meaningful consultation with stakeholders in development of the revised plan.</w:t>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17">
            <w:pPr>
              <w:rPr/>
            </w:pPr>
            <w:r w:rsidDel="00000000" w:rsidR="00000000" w:rsidRPr="00000000">
              <w:rPr>
                <w:rtl w:val="0"/>
              </w:rPr>
              <w:t xml:space="preserve">Grundy County Schools held informational meetings for the public at each of the six elementary schools. The purpose of these meetings was to communicate information concerning the use of The Elementary and Secondary School Emergency Relief Funding (ESSER) and to give the public an opportunity to give feedback and suggestions on the plans for these funds. </w:t>
            </w:r>
          </w:p>
          <w:p w:rsidR="00000000" w:rsidDel="00000000" w:rsidP="00000000" w:rsidRDefault="00000000" w:rsidRPr="00000000" w14:paraId="00000018">
            <w:pPr>
              <w:rPr/>
            </w:pPr>
            <w:r w:rsidDel="00000000" w:rsidR="00000000" w:rsidRPr="00000000">
              <w:rPr>
                <w:rtl w:val="0"/>
              </w:rPr>
              <w:t xml:space="preserve">Planning for the meetings: A survey was developed by instructional supervisors in order to collect feedback from the public. Suggestions for the survey will be gathered from all Central Office supervisors. The surveys were available to be filled out at the school meetings on paper and electronically. In addition, Grundy County Schools sent the survey to teachers via email and used the all call system to send the survey out to parents. A PowerPoint presentation was created by the CTE director and the Federal Programs Supervisor to be used at each of the informational meetings held at the schools. The PowerPoint gave specific details about ESSER funds and the state requirements for the funds. The presentation also contained general ideas about the planning process that was used to determine how the ESSER funds will be used. Communication about the informational meetings was published in the Grundy County Herald, on the Grundy County Schools facebook page, on GCTV, and via all call. In addition, we reached out to community partners which included: Ben Lomand, SVEC, SCCF, Sewanee University, the county commissioners, Grundy Safe Community Coalition, and Mayor Brady. Exceptional Education Supervisor, Attendance Supervisor, Transportation Supervisor, Food Services Supervisor, and Maintenance Supervisor handled communication with community partners.</w:t>
            </w:r>
          </w:p>
          <w:p w:rsidR="00000000" w:rsidDel="00000000" w:rsidP="00000000" w:rsidRDefault="00000000" w:rsidRPr="00000000" w14:paraId="00000019">
            <w:pPr>
              <w:rPr/>
            </w:pPr>
            <w:r w:rsidDel="00000000" w:rsidR="00000000" w:rsidRPr="00000000">
              <w:rPr>
                <w:rtl w:val="0"/>
              </w:rPr>
              <w:t xml:space="preserve">Plans for the informational meetings at the schools:  Each building level principal used the PowerPoint created by Central Office to deliver the message about ESSER funds. The Federal Programs Supervisor provided the PowerPoint and content review to all principals. Central Office staff supported the principals at the meetings by being in attendance to help with the collection of data and Q&amp;A. The following Central Office Staff will be assigned to each school: North Elementary - Gina Sircy Coalmont Elementary - Anna Meeks and Dr. Durley Pelham Elementary - Billy Moon and Kathy Moon Swiss Memorial - Dr. Jennifer Webb Tracy City - Taylor Parmley and Russell Fugate Grundy County High School - Deidre Helton and Dr. Jennifer Webb</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tl w:val="0"/>
              </w:rPr>
              <w:t xml:space="preserve">Updated information regarding the progress toward achieving the needs of the district as determined by stakeholder feedback was communicated to community members and parents during parent teacher conferences in January.  Parents and other stakeholders were asked to complete an additional survey to communicate any needs that they feel need to be addressed with ESSER funding.  The results of these surveys and community feedback will be used to inform any revisions made to the Grundy County ESSER plan.  </w:t>
            </w:r>
            <w:r w:rsidDel="00000000" w:rsidR="00000000" w:rsidRPr="00000000">
              <w:rPr>
                <w:rtl w:val="0"/>
              </w:rPr>
            </w:r>
          </w:p>
        </w:tc>
      </w:tr>
    </w:tbl>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engaged the health department in the development of the revised plan.</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LEA is in constant contact with both the local health department and the TN Department of Health to assist in our efforts to develop and revise our plan to deal with the COVID-19 pandemic and its effect on our students and staff.  Before any changes are made to our current plan, the LEA contacts our health department liaison.  To the best of our ability, we follow the guidance that we are given from health department officials.  </w:t>
            </w:r>
          </w:p>
        </w:tc>
      </w:tr>
    </w:tbl>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to the extent to which the LEA has updated adopted policies and a description of any such policies on each of the following health and safety strategies. </w:t>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288" w:hRule="atLeast"/>
          <w:tblHeader w:val="0"/>
        </w:trPr>
        <w:tc>
          <w:tcPr/>
          <w:p w:rsidR="00000000" w:rsidDel="00000000" w:rsidP="00000000" w:rsidRDefault="00000000" w:rsidRPr="00000000" w14:paraId="00000021">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Appropriate accommodations for children with disabilities with respect to health and safety policies</w:t>
            </w:r>
          </w:p>
        </w:tc>
      </w:tr>
      <w:tr>
        <w:trPr>
          <w:cantSplit w:val="0"/>
          <w:trHeight w:val="864" w:hRule="atLeast"/>
          <w:tblHeader w:val="0"/>
        </w:trPr>
        <w:tc>
          <w:tcPr/>
          <w:p w:rsidR="00000000" w:rsidDel="00000000" w:rsidP="00000000" w:rsidRDefault="00000000" w:rsidRPr="00000000" w14:paraId="00000022">
            <w:pPr>
              <w:rPr>
                <w:rFonts w:ascii="Open Sans" w:cs="Open Sans" w:eastAsia="Open Sans" w:hAnsi="Open Sans"/>
                <w:i w:val="1"/>
                <w:sz w:val="20"/>
                <w:szCs w:val="20"/>
              </w:rPr>
            </w:pPr>
            <w:r w:rsidDel="00000000" w:rsidR="00000000" w:rsidRPr="00000000">
              <w:rPr>
                <w:rtl w:val="0"/>
              </w:rPr>
              <w:t xml:space="preserve">All health and safety plans were made with the consideration of special populations of students, including students with disabilities, in mind. All accommodations necessary to ensure the health and safety of these students are being met.</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3">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Physical distancing (e.g., use of cohorts/podding)</w:t>
            </w:r>
          </w:p>
        </w:tc>
      </w:tr>
      <w:tr>
        <w:trPr>
          <w:cantSplit w:val="0"/>
          <w:trHeight w:val="864" w:hRule="atLeast"/>
          <w:tblHeader w:val="0"/>
        </w:trPr>
        <w:tc>
          <w:tcPr/>
          <w:p w:rsidR="00000000" w:rsidDel="00000000" w:rsidP="00000000" w:rsidRDefault="00000000" w:rsidRPr="00000000" w14:paraId="00000024">
            <w:pPr>
              <w:rPr>
                <w:rFonts w:ascii="Open Sans" w:cs="Open Sans" w:eastAsia="Open Sans" w:hAnsi="Open Sans"/>
                <w:i w:val="1"/>
                <w:sz w:val="20"/>
                <w:szCs w:val="20"/>
              </w:rPr>
            </w:pPr>
            <w:r w:rsidDel="00000000" w:rsidR="00000000" w:rsidRPr="00000000">
              <w:rPr>
                <w:rtl w:val="0"/>
              </w:rPr>
              <w:t xml:space="preserve">All students and staff of Grundy County schools are encouraged to social distance while inside the school building, when possible, to limit COVID-19 exposure.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5">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Hand washing and respiratory etiquette</w:t>
            </w:r>
          </w:p>
        </w:tc>
      </w:tr>
      <w:tr>
        <w:trPr>
          <w:cantSplit w:val="0"/>
          <w:trHeight w:val="864" w:hRule="atLeast"/>
          <w:tblHeader w:val="0"/>
        </w:trPr>
        <w:tc>
          <w:tcPr/>
          <w:p w:rsidR="00000000" w:rsidDel="00000000" w:rsidP="00000000" w:rsidRDefault="00000000" w:rsidRPr="00000000" w14:paraId="00000026">
            <w:pPr>
              <w:rPr>
                <w:rFonts w:ascii="Open Sans" w:cs="Open Sans" w:eastAsia="Open Sans" w:hAnsi="Open Sans"/>
                <w:i w:val="1"/>
                <w:sz w:val="20"/>
                <w:szCs w:val="20"/>
              </w:rPr>
            </w:pPr>
            <w:r w:rsidDel="00000000" w:rsidR="00000000" w:rsidRPr="00000000">
              <w:rPr>
                <w:rtl w:val="0"/>
              </w:rPr>
              <w:t xml:space="preserve">Proper handwashing and coughing etiquette will be retaught. Students are encouraged to bring water bottles to be refilled at hydration stations.</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7">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Cleaning and maintaining healthy facilities including improving ventilation</w:t>
            </w:r>
          </w:p>
        </w:tc>
      </w:tr>
      <w:tr>
        <w:trPr>
          <w:cantSplit w:val="0"/>
          <w:trHeight w:val="864" w:hRule="atLeast"/>
          <w:tblHeader w:val="0"/>
        </w:trPr>
        <w:tc>
          <w:tcPr/>
          <w:p w:rsidR="00000000" w:rsidDel="00000000" w:rsidP="00000000" w:rsidRDefault="00000000" w:rsidRPr="00000000" w14:paraId="00000028">
            <w:pPr>
              <w:rPr>
                <w:rFonts w:ascii="Open Sans" w:cs="Open Sans" w:eastAsia="Open Sans" w:hAnsi="Open Sans"/>
                <w:i w:val="1"/>
                <w:sz w:val="20"/>
                <w:szCs w:val="20"/>
              </w:rPr>
            </w:pPr>
            <w:r w:rsidDel="00000000" w:rsidR="00000000" w:rsidRPr="00000000">
              <w:rPr>
                <w:rtl w:val="0"/>
              </w:rPr>
              <w:t xml:space="preserve">All health and safety plans were made with the consideration of special populations of students, including students with disabilities, in mind. All accommodations necessary to ensure the health and safety of these students are being met.</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9">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Contact tracing in combination with isolation and quarantine</w:t>
            </w:r>
          </w:p>
        </w:tc>
      </w:tr>
      <w:tr>
        <w:trPr>
          <w:cantSplit w:val="0"/>
          <w:trHeight w:val="864" w:hRule="atLeast"/>
          <w:tblHeader w:val="0"/>
        </w:trPr>
        <w:tc>
          <w:tcPr/>
          <w:p w:rsidR="00000000" w:rsidDel="00000000" w:rsidP="00000000" w:rsidRDefault="00000000" w:rsidRPr="00000000" w14:paraId="0000002A">
            <w:pPr>
              <w:rPr/>
            </w:pPr>
            <w:r w:rsidDel="00000000" w:rsidR="00000000" w:rsidRPr="00000000">
              <w:rPr>
                <w:rtl w:val="0"/>
              </w:rPr>
              <w:t xml:space="preserve">Principal and/or School Nurse are to be notified</w:t>
            </w:r>
          </w:p>
          <w:p w:rsidR="00000000" w:rsidDel="00000000" w:rsidP="00000000" w:rsidRDefault="00000000" w:rsidRPr="00000000" w14:paraId="0000002B">
            <w:pPr>
              <w:rPr/>
            </w:pPr>
            <w:r w:rsidDel="00000000" w:rsidR="00000000" w:rsidRPr="00000000">
              <w:rPr>
                <w:rtl w:val="0"/>
              </w:rPr>
              <w:t xml:space="preserve">Isolation begins on positive diagnosis</w:t>
            </w:r>
          </w:p>
          <w:p w:rsidR="00000000" w:rsidDel="00000000" w:rsidP="00000000" w:rsidRDefault="00000000" w:rsidRPr="00000000" w14:paraId="0000002C">
            <w:pPr>
              <w:rPr/>
            </w:pPr>
            <w:r w:rsidDel="00000000" w:rsidR="00000000" w:rsidRPr="00000000">
              <w:rPr>
                <w:rtl w:val="0"/>
              </w:rPr>
              <w:t xml:space="preserve">Follow the directive of your health care provider and/or the TN Department of Health </w:t>
            </w:r>
          </w:p>
          <w:p w:rsidR="00000000" w:rsidDel="00000000" w:rsidP="00000000" w:rsidRDefault="00000000" w:rsidRPr="00000000" w14:paraId="0000002D">
            <w:pPr>
              <w:rPr/>
            </w:pPr>
            <w:r w:rsidDel="00000000" w:rsidR="00000000" w:rsidRPr="00000000">
              <w:rPr>
                <w:rtl w:val="0"/>
              </w:rPr>
              <w:t xml:space="preserve">A doctor's note is to be provided to School Secretary </w:t>
            </w:r>
          </w:p>
          <w:p w:rsidR="00000000" w:rsidDel="00000000" w:rsidP="00000000" w:rsidRDefault="00000000" w:rsidRPr="00000000" w14:paraId="0000002E">
            <w:pPr>
              <w:rPr/>
            </w:pPr>
            <w:r w:rsidDel="00000000" w:rsidR="00000000" w:rsidRPr="00000000">
              <w:rPr>
                <w:rtl w:val="0"/>
              </w:rPr>
              <w:t xml:space="preserve">COVID verified absences will be excused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Student with close contact of another student or adult:</w:t>
            </w:r>
          </w:p>
          <w:p w:rsidR="00000000" w:rsidDel="00000000" w:rsidP="00000000" w:rsidRDefault="00000000" w:rsidRPr="00000000" w14:paraId="00000031">
            <w:pPr>
              <w:rPr/>
            </w:pPr>
            <w:r w:rsidDel="00000000" w:rsidR="00000000" w:rsidRPr="00000000">
              <w:rPr>
                <w:rtl w:val="0"/>
              </w:rPr>
              <w:t xml:space="preserve">Principal and/or School Nurse shall notify the parents/guardians of students deemed to be “close contact” (within 6 ft for 15 minutes) via phone call or letter. Principal and/or school nurse should tell the close contact to expect a call from the TN Department of Health with quarantine information. Students and staff receive quarantine information and guidelines from the TN Department of Health or their healthcare provider.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4">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Diagnostic and screening testing</w:t>
            </w:r>
          </w:p>
        </w:tc>
      </w:tr>
      <w:tr>
        <w:trPr>
          <w:cantSplit w:val="0"/>
          <w:trHeight w:val="864" w:hRule="atLeast"/>
          <w:tblHeader w:val="0"/>
        </w:trPr>
        <w:tc>
          <w:tcPr/>
          <w:p w:rsidR="00000000" w:rsidDel="00000000" w:rsidP="00000000" w:rsidRDefault="00000000" w:rsidRPr="00000000" w14:paraId="0000003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LEA does not do any screening testing. </w:t>
            </w:r>
          </w:p>
        </w:tc>
      </w:tr>
      <w:tr>
        <w:trPr>
          <w:cantSplit w:val="0"/>
          <w:trHeight w:val="288" w:hRule="atLeast"/>
          <w:tblHeader w:val="0"/>
        </w:trPr>
        <w:tc>
          <w:tcPr/>
          <w:p w:rsidR="00000000" w:rsidDel="00000000" w:rsidP="00000000" w:rsidRDefault="00000000" w:rsidRPr="00000000" w14:paraId="00000036">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Efforts to provide vaccinations to educators, other staff, and students, if eligible</w:t>
            </w:r>
          </w:p>
        </w:tc>
      </w:tr>
      <w:tr>
        <w:trPr>
          <w:cantSplit w:val="0"/>
          <w:trHeight w:val="864" w:hRule="atLeast"/>
          <w:tblHeader w:val="0"/>
        </w:trPr>
        <w:tc>
          <w:tcPr/>
          <w:p w:rsidR="00000000" w:rsidDel="00000000" w:rsidP="00000000" w:rsidRDefault="00000000" w:rsidRPr="00000000" w14:paraId="00000037">
            <w:pPr>
              <w:rPr>
                <w:rFonts w:ascii="Open Sans" w:cs="Open Sans" w:eastAsia="Open Sans" w:hAnsi="Open Sans"/>
                <w:i w:val="1"/>
                <w:sz w:val="20"/>
                <w:szCs w:val="20"/>
              </w:rPr>
            </w:pPr>
            <w:r w:rsidDel="00000000" w:rsidR="00000000" w:rsidRPr="00000000">
              <w:rPr>
                <w:rtl w:val="0"/>
              </w:rPr>
              <w:t xml:space="preserve">Educators, staff and eligible students of Grundy County schools are encouraged to take advantage of COVID-19 vaccinations as this is suggested by the CDC as the best way to protect yourself against COVID-19.</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8">
            <w:pPr>
              <w:rPr>
                <w:rFonts w:ascii="Open Sans" w:cs="Open Sans" w:eastAsia="Open Sans" w:hAnsi="Open Sans"/>
                <w:sz w:val="20"/>
                <w:szCs w:val="20"/>
              </w:rPr>
            </w:pPr>
            <w:r w:rsidDel="00000000" w:rsidR="00000000" w:rsidRPr="00000000">
              <w:rPr>
                <w:rFonts w:ascii="Open Sans" w:cs="Open Sans" w:eastAsia="Open Sans" w:hAnsi="Open Sans"/>
                <w:i w:val="1"/>
                <w:color w:val="000000"/>
                <w:sz w:val="19"/>
                <w:szCs w:val="19"/>
                <w:rtl w:val="0"/>
              </w:rPr>
              <w:t xml:space="preserve">Universal and correct wearing of masks</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39">
            <w:pPr>
              <w:rPr>
                <w:rFonts w:ascii="Open Sans" w:cs="Open Sans" w:eastAsia="Open Sans" w:hAnsi="Open Sans"/>
                <w:i w:val="1"/>
                <w:sz w:val="20"/>
                <w:szCs w:val="20"/>
              </w:rPr>
            </w:pPr>
            <w:r w:rsidDel="00000000" w:rsidR="00000000" w:rsidRPr="00000000">
              <w:rPr>
                <w:rtl w:val="0"/>
              </w:rPr>
              <w:t xml:space="preserve">Masks are recommended in areas where students cannot socially distance themselves. Although not required, masks have been shown to limit the spread of COVID-19 and have been recommended by local, state, and national health officials.</w:t>
            </w:r>
            <w:r w:rsidDel="00000000" w:rsidR="00000000" w:rsidRPr="00000000">
              <w:rPr>
                <w:rtl w:val="0"/>
              </w:rPr>
            </w:r>
          </w:p>
        </w:tc>
      </w:tr>
    </w:tbl>
    <w:p w:rsidR="00000000" w:rsidDel="00000000" w:rsidP="00000000" w:rsidRDefault="00000000" w:rsidRPr="00000000" w14:paraId="0000003A">
      <w:pPr>
        <w:spacing w:after="0"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a current description as to how the LEA is ensuring continuity of services including but not limited to services to address the students’ academic needs, and students’ and staff social, emotional, mental health, and other needs, which may include student health and food services.</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3C">
            <w:pPr>
              <w:rPr>
                <w:rFonts w:ascii="Open Sans" w:cs="Open Sans" w:eastAsia="Open Sans" w:hAnsi="Open Sans"/>
                <w:sz w:val="20"/>
                <w:szCs w:val="20"/>
              </w:rPr>
            </w:pPr>
            <w:r w:rsidDel="00000000" w:rsidR="00000000" w:rsidRPr="00000000">
              <w:rPr>
                <w:rtl w:val="0"/>
              </w:rPr>
              <w:t xml:space="preserve">Upon approval of the ESSER 3 plan by the state, the following services will be added to address the above needs: 1. Addition of 3 social workers for the district 2. Low ratio tutoring 3. Improved ventilation systems and roofing projects to eliminate mold from buildings 4. Various partnerships established with non-profit organizations to assist with social and emotional needs</w:t>
            </w:r>
            <w:r w:rsidDel="00000000" w:rsidR="00000000" w:rsidRPr="00000000">
              <w:rPr>
                <w:rtl w:val="0"/>
              </w:rPr>
            </w:r>
          </w:p>
        </w:tc>
      </w:tr>
    </w:tbl>
    <w:p w:rsidR="00000000" w:rsidDel="00000000" w:rsidP="00000000" w:rsidRDefault="00000000" w:rsidRPr="00000000" w14:paraId="0000003D">
      <w:pPr>
        <w:rPr>
          <w:rFonts w:ascii="Open Sans" w:cs="Open Sans" w:eastAsia="Open Sans" w:hAnsi="Open Sans"/>
          <w:b w:val="1"/>
          <w:sz w:val="20"/>
          <w:szCs w:val="20"/>
        </w:rPr>
      </w:pPr>
      <w:bookmarkStart w:colFirst="0" w:colLast="0" w:name="_heading=h.30j0zll" w:id="1"/>
      <w:bookmarkEnd w:id="1"/>
      <w:r w:rsidDel="00000000" w:rsidR="00000000" w:rsidRPr="00000000">
        <w:rPr>
          <w:rtl w:val="0"/>
        </w:rPr>
      </w:r>
    </w:p>
    <w:sectPr>
      <w:headerReference r:id="rId7" w:type="default"/>
      <w:footerReference r:id="rId8" w:type="default"/>
      <w:pgSz w:h="15840" w:w="12240" w:orient="portrait"/>
      <w:pgMar w:bottom="1440"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Division of Federal Programs and Oversight</w:t>
      <w:br w:type="textWrapping"/>
      <w:t xml:space="preserve">Andrew Johnson Tower • 710 James Robertson Parkway • Nashville, TN 37243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6400800" cy="12700"/>
              <wp:effectExtent b="0" l="0" r="0" t="0"/>
              <wp:wrapNone/>
              <wp:docPr descr="Red Line&#10;" id="218"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6400800" cy="12700"/>
              <wp:effectExtent b="0" l="0" r="0" t="0"/>
              <wp:wrapNone/>
              <wp:docPr descr="Red Line&#10;" id="218"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4423980" y="3077690"/>
                        <a:ext cx="184404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3b3838"/>
                              <w:sz w:val="18"/>
                              <w:vertAlign w:val="baseline"/>
                            </w:rPr>
                            <w:t xml:space="preserve"> PAGE   \* MERGEFORMAT 3 | November 2021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853565" cy="1414145"/>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20" cy="557784"/>
          <wp:effectExtent b="0" l="0" r="0" t="0"/>
          <wp:docPr descr="TN Dept of Education&#10;" id="220"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784"/>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Open Sans" w:cs="Open Sans" w:eastAsia="Open Sans" w:hAnsi="Open 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C04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C4D34"/>
    <w:pPr>
      <w:autoSpaceDE w:val="0"/>
      <w:autoSpaceDN w:val="0"/>
      <w:adjustRightInd w:val="0"/>
      <w:spacing w:after="0" w:line="240" w:lineRule="auto"/>
    </w:pPr>
    <w:rPr>
      <w:rFonts w:ascii="Open Sans" w:cs="Open Sans" w:hAnsi="Open Sans"/>
      <w:color w:val="000000"/>
      <w:sz w:val="24"/>
      <w:szCs w:val="24"/>
    </w:rPr>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rsid w:val="000D7E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7E9E"/>
  </w:style>
  <w:style w:type="paragraph" w:styleId="Footer">
    <w:name w:val="footer"/>
    <w:basedOn w:val="Normal"/>
    <w:link w:val="FooterChar"/>
    <w:uiPriority w:val="99"/>
    <w:unhideWhenUsed w:val="1"/>
    <w:rsid w:val="000D7E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7E9E"/>
  </w:style>
  <w:style w:type="character" w:styleId="CommentReference">
    <w:name w:val="annotation reference"/>
    <w:basedOn w:val="DefaultParagraphFont"/>
    <w:uiPriority w:val="99"/>
    <w:semiHidden w:val="1"/>
    <w:unhideWhenUsed w:val="1"/>
    <w:rsid w:val="00EE3351"/>
    <w:rPr>
      <w:sz w:val="16"/>
      <w:szCs w:val="16"/>
    </w:rPr>
  </w:style>
  <w:style w:type="paragraph" w:styleId="CommentText">
    <w:name w:val="annotation text"/>
    <w:basedOn w:val="Normal"/>
    <w:link w:val="CommentTextChar"/>
    <w:uiPriority w:val="99"/>
    <w:semiHidden w:val="1"/>
    <w:unhideWhenUsed w:val="1"/>
    <w:rsid w:val="00EE3351"/>
    <w:pPr>
      <w:spacing w:line="240" w:lineRule="auto"/>
    </w:pPr>
    <w:rPr>
      <w:sz w:val="20"/>
      <w:szCs w:val="20"/>
    </w:rPr>
  </w:style>
  <w:style w:type="character" w:styleId="CommentTextChar" w:customStyle="1">
    <w:name w:val="Comment Text Char"/>
    <w:basedOn w:val="DefaultParagraphFont"/>
    <w:link w:val="CommentText"/>
    <w:uiPriority w:val="99"/>
    <w:semiHidden w:val="1"/>
    <w:rsid w:val="00EE3351"/>
    <w:rPr>
      <w:sz w:val="20"/>
      <w:szCs w:val="20"/>
    </w:rPr>
  </w:style>
  <w:style w:type="paragraph" w:styleId="CommentSubject">
    <w:name w:val="annotation subject"/>
    <w:basedOn w:val="CommentText"/>
    <w:next w:val="CommentText"/>
    <w:link w:val="CommentSubjectChar"/>
    <w:uiPriority w:val="99"/>
    <w:semiHidden w:val="1"/>
    <w:unhideWhenUsed w:val="1"/>
    <w:rsid w:val="00EE3351"/>
    <w:rPr>
      <w:b w:val="1"/>
      <w:bCs w:val="1"/>
    </w:rPr>
  </w:style>
  <w:style w:type="character" w:styleId="CommentSubjectChar" w:customStyle="1">
    <w:name w:val="Comment Subject Char"/>
    <w:basedOn w:val="CommentTextChar"/>
    <w:link w:val="CommentSubject"/>
    <w:uiPriority w:val="99"/>
    <w:semiHidden w:val="1"/>
    <w:rsid w:val="00EE3351"/>
    <w:rPr>
      <w:b w:val="1"/>
      <w:bCs w:val="1"/>
      <w:sz w:val="20"/>
      <w:szCs w:val="20"/>
    </w:rPr>
  </w:style>
  <w:style w:type="paragraph" w:styleId="BalloonText">
    <w:name w:val="Balloon Text"/>
    <w:basedOn w:val="Normal"/>
    <w:link w:val="BalloonTextChar"/>
    <w:uiPriority w:val="99"/>
    <w:semiHidden w:val="1"/>
    <w:unhideWhenUsed w:val="1"/>
    <w:rsid w:val="00CB569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569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jA83BOH8/HhUGVoUdACEuNQQg==">AMUW2mUhHwJ8vhdw9DAix0mAFP2s6zCdCBHUKvqQE0/9omFo5agZw5vxcF8HT46aqd9UfxvOfGovLp1DicMThZqUBGMwu7anfnU14jo5ur/o5jIv2aEqk1oWD8BznQIY+8/kfiW4Xh8D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2022-01-25T21:25:00Z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