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Library Sills and Book Checkout--Week at a Glance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440"/>
        <w:tblGridChange w:id="0">
          <w:tblGrid>
            <w:gridCol w:w="192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of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March 16,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Class and Topic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2nd–Creepy Carrot Creative Writing; Book Checkout; Book Fair Previews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6th–Continue practice writing a Works Cited Page with a website; Practice parenthetical citation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K–Book Checkout; Book Fair Previews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5th–Bookmobile; Book Fair Previews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4th–Bookmobile; Book Fair Previews</w:t>
            </w:r>
          </w:p>
        </w:tc>
      </w:tr>
      <w:tr>
        <w:trPr>
          <w:cantSplit w:val="0"/>
          <w:trHeight w:val="171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1st--Book Checkout; Book Fair Previews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6th--Book Checkout; Book Fair Previews</w:t>
              <w:br w:type="textWrapping"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3rd --Book Checkout; Book Fair Previews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School–Teacher Comp Day/ Spring Break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School–Spring Break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Standards 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6.IP.1 </w:t>
            </w:r>
            <w:r w:rsidDel="00000000" w:rsidR="00000000" w:rsidRPr="00000000">
              <w:rPr>
                <w:color w:val="364152"/>
                <w:rtl w:val="0"/>
              </w:rPr>
              <w:t xml:space="preserve">With guidance, properly use copyrighted works, works in the creative commons, and works in the public domain.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6.IP.2 Cite a variety of sources using the appropriate format. 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