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MLK, Jr.  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Determination of Curriculum, including needs assessment, curriculum development and responsibilities under: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 (i) 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Curriculum Policy for MLK, Jr.  Elementary ensures and establishes a process for curriculum development, implementation, evaluation and communication of the school’s curriculum that involves all stakeholder groups.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Procedures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MLK, Jr.  Elementary School defines curriculum as what students are taught and the links they make to “real world”.  The curriculum shall define what students should know and be able to do in all content areas.  The curriculum shall also be defined as all experiences provided by the school staff which are designed to assist students in valuing learning and developing academically, socially, emotionally and physically.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includes both what is taught and how it is organized for delivery.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curriculum shall include all core subject areas (i.e., English/Language Arts, Mathematics, Science and Social Studies) as well as a variety of elective courses (i.e., Arts and Humanities, Practical Living/Career Studies, Health and Physical Education and Technology).  The curriculum shall encompass state standards and be research-based.  It shall be aligned with the </w:t>
      </w:r>
      <w:r w:rsidDel="00000000" w:rsidR="00000000" w:rsidRPr="00000000">
        <w:rPr>
          <w:sz w:val="24"/>
          <w:szCs w:val="24"/>
          <w:rtl w:val="0"/>
        </w:rPr>
        <w:t xml:space="preserve">Kentucky Academic Standards.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students shall have equal access to all aspects of the curriculum during the school day.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curriculum shall include the following features: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ligned to state standards and documents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Developmentally appropriate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Vertically and horizontally aligned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skills and concepts, instructional strategies, assessments and resources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real world experiences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Integrated career awareness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Integrated problem solving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and/or designees will:</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Ensure the implementation of the curriculum.</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Ensure the teacher's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instructional time is protected.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for the coordination and scheduling of instructional programs congruent to Kent</w:t>
      </w:r>
      <w:r w:rsidDel="00000000" w:rsidR="00000000" w:rsidRPr="00000000">
        <w:rPr>
          <w:sz w:val="24"/>
          <w:szCs w:val="24"/>
          <w:rtl w:val="0"/>
        </w:rPr>
        <w:t xml:space="preserve">ucky Academic Standards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with teachers to review Kentucky Academic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tandards, expectations, and ensure that all teachers have copies of documents relevant to their teaching.</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school leadership in the implementation and refinement of the Professional Learning Community.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lesson plans weekly to ensure alignment to the Kentucky Academ</w:t>
      </w:r>
      <w:r w:rsidDel="00000000" w:rsidR="00000000" w:rsidRPr="00000000">
        <w:rPr>
          <w:sz w:val="24"/>
          <w:szCs w:val="24"/>
          <w:rtl w:val="0"/>
        </w:rPr>
        <w:t xml:space="preserve">ic Stand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ards.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teachers in identifying areas of growth and ensure that professional development opportunities and/or resources are available to guarantee student success.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for horizontal and vertical communication among teachers to promote rigor in all classrooms.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teacher will:</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the curriculum with fidelity in all classroom assignments.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Guarantee instruction and assessments are congruent to K</w:t>
      </w:r>
      <w:r w:rsidDel="00000000" w:rsidR="00000000" w:rsidRPr="00000000">
        <w:rPr>
          <w:sz w:val="24"/>
          <w:szCs w:val="24"/>
          <w:rtl w:val="0"/>
        </w:rPr>
        <w:t xml:space="preserve">entucky Academic Stan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dards as it applies to their particular content area.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Disseminate curriculum expectations to students and parents through newsletters, parent conferences, phone calls, etc.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 Response to Intervention reading and math instruction that is congruent to the Kentucky Ac</w:t>
      </w:r>
      <w:r w:rsidDel="00000000" w:rsidR="00000000" w:rsidRPr="00000000">
        <w:rPr>
          <w:sz w:val="24"/>
          <w:szCs w:val="24"/>
          <w:rtl w:val="0"/>
        </w:rPr>
        <w:t xml:space="preserve">ademic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Utilize formative and summative assessments on a consistent basis to guide and monitor student mastery of curriculum and instruction.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Disaggregate student data on a consistent basis in order to plan individualized and small group instruction.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research based strategies and programs, higher-order thinking, and problem solving strategies in the design and delivery of the curriculum.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age-appropriate, differentiated opportunities for students to learn, with a focus on student developmental levels and learning styles.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 technology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shall receive appropriate professional development annually on any curricular revisions.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Evaluation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MLK, Jr.  Elementary School Council shall monitor the implementation of the curriculum through checkpoints during regular school council meetings.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9-14-17</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Adopted 10-19-17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Revised 10-19-22</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