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 for Remaining Funds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Elementary and Secondary School Emergency Relief 3.0 (ESSER 3.0) Fund under the American Rescue Plan (ARP) Act of 2021, Public Law 117-2, was enacted on March 11, 2021. Funding provided to states and local educational agencies (LEAs) helps safely reopen and sustain the safe operation of schools and address the impact of the coronavirus pandemic on the nation’s students. </w:t>
      </w:r>
    </w:p>
    <w:p w:rsidR="00000000" w:rsidDel="00000000" w:rsidP="00000000" w:rsidRDefault="00000000" w:rsidRPr="00000000" w14:paraId="00000003">
      <w:pPr>
        <w:rPr/>
      </w:pPr>
      <w:r w:rsidDel="00000000" w:rsidR="00000000" w:rsidRPr="00000000">
        <w:rPr>
          <w:rtl w:val="0"/>
        </w:rPr>
        <w:t xml:space="preserve">In the fall of 2021, LEAs developed and made publicly available a </w:t>
      </w:r>
      <w:r w:rsidDel="00000000" w:rsidR="00000000" w:rsidRPr="00000000">
        <w:rPr>
          <w:i w:val="1"/>
          <w:rtl w:val="0"/>
        </w:rPr>
        <w:t xml:space="preserve">Public Plan - Federal Relief Spending</w:t>
      </w:r>
      <w:r w:rsidDel="00000000" w:rsidR="00000000" w:rsidRPr="00000000">
        <w:rPr>
          <w:rtl w:val="0"/>
        </w:rPr>
        <w:t xml:space="preserve">.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04">
      <w:pPr>
        <w:rPr/>
      </w:pPr>
      <w:r w:rsidDel="00000000" w:rsidR="00000000" w:rsidRPr="00000000">
        <w:rPr>
          <w:rtl w:val="0"/>
        </w:rPr>
        <w:t xml:space="preserve">The following information is intended to update stakeholders and address the requirement.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General Information </w:t>
      </w:r>
    </w:p>
    <w:p w:rsidR="00000000" w:rsidDel="00000000" w:rsidP="00000000" w:rsidRDefault="00000000" w:rsidRPr="00000000" w14:paraId="00000007">
      <w:pPr>
        <w:tabs>
          <w:tab w:val="right" w:leader="none" w:pos="10080"/>
        </w:tabs>
        <w:rPr>
          <w:b w:val="1"/>
        </w:rPr>
      </w:pPr>
      <w:r w:rsidDel="00000000" w:rsidR="00000000" w:rsidRPr="00000000">
        <w:rPr>
          <w:rtl w:val="0"/>
        </w:rPr>
        <w:t xml:space="preserve">LEA Name:</w:t>
      </w:r>
      <w:r w:rsidDel="00000000" w:rsidR="00000000" w:rsidRPr="00000000">
        <w:rPr>
          <w:b w:val="1"/>
          <w:rtl w:val="0"/>
        </w:rPr>
        <w:t xml:space="preserve">  Hickman County Schools</w:t>
      </w:r>
      <w:r w:rsidDel="00000000" w:rsidR="00000000" w:rsidRPr="00000000">
        <w:rPr>
          <w:rtl w:val="0"/>
        </w:rPr>
      </w:r>
    </w:p>
    <w:p w:rsidR="00000000" w:rsidDel="00000000" w:rsidP="00000000" w:rsidRDefault="00000000" w:rsidRPr="00000000" w14:paraId="00000008">
      <w:pPr>
        <w:tabs>
          <w:tab w:val="right" w:leader="none" w:pos="10080"/>
        </w:tabs>
        <w:rPr>
          <w:b w:val="1"/>
        </w:rPr>
      </w:pPr>
      <w:r w:rsidDel="00000000" w:rsidR="00000000" w:rsidRPr="00000000">
        <w:rPr>
          <w:rtl w:val="0"/>
        </w:rPr>
        <w:t xml:space="preserve">Director of Schools (Name):</w:t>
      </w:r>
      <w:r w:rsidDel="00000000" w:rsidR="00000000" w:rsidRPr="00000000">
        <w:rPr>
          <w:b w:val="1"/>
          <w:rtl w:val="0"/>
        </w:rPr>
        <w:t xml:space="preserve">  Michelle Gilbert</w:t>
      </w:r>
    </w:p>
    <w:p w:rsidR="00000000" w:rsidDel="00000000" w:rsidP="00000000" w:rsidRDefault="00000000" w:rsidRPr="00000000" w14:paraId="00000009">
      <w:pPr>
        <w:tabs>
          <w:tab w:val="right" w:leader="none" w:pos="10080"/>
        </w:tabs>
        <w:rPr>
          <w:b w:val="1"/>
        </w:rPr>
      </w:pPr>
      <w:r w:rsidDel="00000000" w:rsidR="00000000" w:rsidRPr="00000000">
        <w:rPr>
          <w:rtl w:val="0"/>
        </w:rPr>
        <w:t xml:space="preserve">ESSER Director (Name):</w:t>
      </w:r>
      <w:r w:rsidDel="00000000" w:rsidR="00000000" w:rsidRPr="00000000">
        <w:rPr>
          <w:b w:val="1"/>
          <w:rtl w:val="0"/>
        </w:rPr>
        <w:t xml:space="preserve">  Derek Newsom</w:t>
      </w:r>
    </w:p>
    <w:p w:rsidR="00000000" w:rsidDel="00000000" w:rsidP="00000000" w:rsidRDefault="00000000" w:rsidRPr="00000000" w14:paraId="0000000A">
      <w:pPr>
        <w:tabs>
          <w:tab w:val="right" w:leader="none" w:pos="10080"/>
        </w:tabs>
        <w:rPr>
          <w:b w:val="1"/>
        </w:rPr>
      </w:pPr>
      <w:r w:rsidDel="00000000" w:rsidR="00000000" w:rsidRPr="00000000">
        <w:rPr>
          <w:rtl w:val="0"/>
        </w:rPr>
        <w:t xml:space="preserve">Address:</w:t>
      </w:r>
      <w:r w:rsidDel="00000000" w:rsidR="00000000" w:rsidRPr="00000000">
        <w:rPr>
          <w:b w:val="1"/>
          <w:rtl w:val="0"/>
        </w:rPr>
        <w:t xml:space="preserve">  115 Murphree Ave</w:t>
      </w:r>
    </w:p>
    <w:p w:rsidR="00000000" w:rsidDel="00000000" w:rsidP="00000000" w:rsidRDefault="00000000" w:rsidRPr="00000000" w14:paraId="0000000B">
      <w:pPr>
        <w:tabs>
          <w:tab w:val="right" w:leader="none" w:pos="5760"/>
          <w:tab w:val="right" w:leader="none" w:pos="10080"/>
        </w:tabs>
        <w:rPr>
          <w:b w:val="1"/>
        </w:rPr>
      </w:pPr>
      <w:r w:rsidDel="00000000" w:rsidR="00000000" w:rsidRPr="00000000">
        <w:rPr>
          <w:rtl w:val="0"/>
        </w:rPr>
        <w:t xml:space="preserve">Phone #:</w:t>
      </w:r>
      <w:r w:rsidDel="00000000" w:rsidR="00000000" w:rsidRPr="00000000">
        <w:rPr>
          <w:b w:val="1"/>
          <w:rtl w:val="0"/>
        </w:rPr>
        <w:t xml:space="preserve">  931-729-3391</w:t>
        <w:tab/>
      </w:r>
      <w:r w:rsidDel="00000000" w:rsidR="00000000" w:rsidRPr="00000000">
        <w:rPr>
          <w:rtl w:val="0"/>
        </w:rPr>
        <w:t xml:space="preserve">                                                District Website:</w:t>
      </w:r>
      <w:r w:rsidDel="00000000" w:rsidR="00000000" w:rsidRPr="00000000">
        <w:rPr>
          <w:b w:val="1"/>
          <w:rtl w:val="0"/>
        </w:rPr>
        <w:t xml:space="preserve">  www.hickmank12.org</w:t>
      </w:r>
    </w:p>
    <w:p w:rsidR="00000000" w:rsidDel="00000000" w:rsidP="00000000" w:rsidRDefault="00000000" w:rsidRPr="00000000" w14:paraId="0000000C">
      <w:pPr>
        <w:tabs>
          <w:tab w:val="right" w:leader="none" w:pos="10080"/>
        </w:tabs>
        <w:rPr>
          <w:b w:val="1"/>
        </w:rPr>
      </w:pPr>
      <w:r w:rsidDel="00000000" w:rsidR="00000000" w:rsidRPr="00000000">
        <w:rPr>
          <w:rtl w:val="0"/>
        </w:rPr>
        <w:t xml:space="preserve">Addendum Date:</w:t>
      </w:r>
      <w:r w:rsidDel="00000000" w:rsidR="00000000" w:rsidRPr="00000000">
        <w:rPr>
          <w:b w:val="1"/>
          <w:rtl w:val="0"/>
        </w:rPr>
        <w:t xml:space="preserve">  02/06/23</w:t>
      </w:r>
    </w:p>
    <w:p w:rsidR="00000000" w:rsidDel="00000000" w:rsidP="00000000" w:rsidRDefault="00000000" w:rsidRPr="00000000" w14:paraId="0000000D">
      <w:pPr>
        <w:rPr/>
      </w:pPr>
      <w:r w:rsidDel="00000000" w:rsidR="00000000" w:rsidRPr="00000000">
        <w:rPr>
          <w:rtl w:val="0"/>
        </w:rPr>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Student Enrollment:</w:t>
            </w:r>
          </w:p>
        </w:tc>
        <w:tc>
          <w:tcP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rtl w:val="0"/>
              </w:rPr>
              <w:t xml:space="preserve">3,180</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Grades Served:</w:t>
            </w:r>
          </w:p>
        </w:tc>
        <w:tc>
          <w:tcP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rtl w:val="0"/>
              </w:rPr>
              <w:t xml:space="preserve">Pre-K-12</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Number of Schools:</w:t>
            </w:r>
          </w:p>
        </w:tc>
        <w:tc>
          <w:tcP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rtl w:val="0"/>
              </w:rPr>
              <w:t xml:space="preserve">9</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Funding</w:t>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2.0 Remaining Funds:</w:t>
            </w:r>
          </w:p>
        </w:tc>
        <w:tc>
          <w:tcPr>
            <w:vAlign w:val="center"/>
          </w:tcPr>
          <w:p w:rsidR="00000000" w:rsidDel="00000000" w:rsidP="00000000" w:rsidRDefault="00000000" w:rsidRPr="00000000" w14:paraId="00000017">
            <w:pPr>
              <w:spacing w:line="259" w:lineRule="auto"/>
              <w:rPr>
                <w:b w:val="1"/>
              </w:rPr>
            </w:pPr>
            <w:r w:rsidDel="00000000" w:rsidR="00000000" w:rsidRPr="00000000">
              <w:rPr>
                <w:b w:val="1"/>
                <w:rtl w:val="0"/>
              </w:rPr>
              <w:t xml:space="preserve">$2,517,037.13</w:t>
            </w:r>
          </w:p>
        </w:tc>
      </w:tr>
      <w:tr>
        <w:trPr>
          <w:cantSplit w:val="0"/>
          <w:trHeight w:val="432" w:hRule="atLeast"/>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3.0 Remaining Funds:</w:t>
            </w:r>
          </w:p>
        </w:tc>
        <w:tc>
          <w:tcPr>
            <w:vAlign w:val="center"/>
          </w:tcPr>
          <w:p w:rsidR="00000000" w:rsidDel="00000000" w:rsidP="00000000" w:rsidRDefault="00000000" w:rsidRPr="00000000" w14:paraId="00000019">
            <w:pPr>
              <w:spacing w:line="259" w:lineRule="auto"/>
              <w:rPr>
                <w:b w:val="1"/>
              </w:rPr>
            </w:pPr>
            <w:r w:rsidDel="00000000" w:rsidR="00000000" w:rsidRPr="00000000">
              <w:rPr>
                <w:b w:val="1"/>
                <w:rtl w:val="0"/>
              </w:rPr>
              <w:t xml:space="preserve">$7,071,352.20</w:t>
            </w:r>
          </w:p>
        </w:tc>
      </w:tr>
      <w:tr>
        <w:trPr>
          <w:cantSplit w:val="0"/>
          <w:trHeight w:val="432" w:hRule="atLeast"/>
          <w:tblHeader w:val="0"/>
        </w:trPr>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 Remaining Funds:</w:t>
            </w:r>
          </w:p>
        </w:tc>
        <w:tc>
          <w:tcPr>
            <w:vAlign w:val="center"/>
          </w:tcPr>
          <w:p w:rsidR="00000000" w:rsidDel="00000000" w:rsidP="00000000" w:rsidRDefault="00000000" w:rsidRPr="00000000" w14:paraId="0000001B">
            <w:pPr>
              <w:spacing w:line="259" w:lineRule="auto"/>
              <w:rPr>
                <w:b w:val="1"/>
              </w:rPr>
            </w:pPr>
            <w:r w:rsidDel="00000000" w:rsidR="00000000" w:rsidRPr="00000000">
              <w:rPr>
                <w:b w:val="1"/>
                <w:rtl w:val="0"/>
              </w:rPr>
              <w:t xml:space="preserve">$9,588,389.33</w:t>
            </w:r>
          </w:p>
        </w:tc>
      </w:tr>
    </w:tbl>
    <w:p w:rsidR="00000000" w:rsidDel="00000000" w:rsidP="00000000" w:rsidRDefault="00000000" w:rsidRPr="00000000" w14:paraId="0000001C">
      <w:pPr>
        <w:spacing w:after="160" w:lineRule="auto"/>
        <w:rPr>
          <w:highlight w:val="yellow"/>
        </w:rPr>
      </w:pPr>
      <w:r w:rsidDel="00000000" w:rsidR="00000000" w:rsidRPr="00000000">
        <w:rPr>
          <w:rtl w:val="0"/>
        </w:rPr>
      </w:r>
    </w:p>
    <w:p w:rsidR="00000000" w:rsidDel="00000000" w:rsidP="00000000" w:rsidRDefault="00000000" w:rsidRPr="00000000" w14:paraId="0000001D">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highlight w:val="yellow"/>
        </w:rPr>
      </w:pPr>
      <w:r w:rsidDel="00000000" w:rsidR="00000000" w:rsidRPr="00000000">
        <w:rPr>
          <w:rtl w:val="0"/>
        </w:rPr>
        <w:t xml:space="preserve">Budget Summary</w:t>
      </w:r>
      <w:r w:rsidDel="00000000" w:rsidR="00000000" w:rsidRPr="00000000">
        <w:rPr>
          <w:rtl w:val="0"/>
        </w:rPr>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52"/>
        <w:gridCol w:w="2986"/>
        <w:gridCol w:w="2839"/>
        <w:gridCol w:w="2793"/>
        <w:tblGridChange w:id="0">
          <w:tblGrid>
            <w:gridCol w:w="1452"/>
            <w:gridCol w:w="2986"/>
            <w:gridCol w:w="2839"/>
            <w:gridCol w:w="2793"/>
          </w:tblGrid>
        </w:tblGridChange>
      </w:tblGrid>
      <w:tr>
        <w:trPr>
          <w:cantSplit w:val="0"/>
          <w:trHeight w:val="373" w:hRule="atLeast"/>
          <w:tblHeader w:val="0"/>
        </w:trPr>
        <w:tc>
          <w:tcPr>
            <w:shd w:fill="002d72"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ffffff"/>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ffffff"/>
                <w:sz w:val="20"/>
                <w:szCs w:val="20"/>
                <w:u w:val="none"/>
                <w:shd w:fill="auto" w:val="clear"/>
                <w:vertAlign w:val="baseline"/>
                <w:rtl w:val="0"/>
              </w:rPr>
              <w:t xml:space="preserve">ESSER 2.0 Remaining Funds</w:t>
            </w:r>
          </w:p>
        </w:tc>
        <w:tc>
          <w:tcPr>
            <w:shd w:fill="002d72"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ffffff"/>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ffffff"/>
                <w:sz w:val="20"/>
                <w:szCs w:val="20"/>
                <w:u w:val="none"/>
                <w:shd w:fill="auto" w:val="clear"/>
                <w:vertAlign w:val="baseline"/>
                <w:rtl w:val="0"/>
              </w:rPr>
              <w:t xml:space="preserve">ESSER 3.0 Remaining Funds</w:t>
            </w:r>
          </w:p>
        </w:tc>
      </w:tr>
      <w:tr>
        <w:trPr>
          <w:cantSplit w:val="0"/>
          <w:trHeight w:val="373" w:hRule="atLeast"/>
          <w:tblHeader w:val="0"/>
        </w:trPr>
        <w:tc>
          <w:tcPr>
            <w:vMerge w:val="restart"/>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Academics</w:t>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Tutoring</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$23,330.00</w:t>
            </w:r>
            <w:r w:rsidDel="00000000" w:rsidR="00000000" w:rsidRPr="00000000">
              <w:rPr>
                <w:rtl w:val="0"/>
              </w:rPr>
            </w:r>
          </w:p>
        </w:tc>
        <w:tc>
          <w:tcPr>
            <w:vAlign w:val="center"/>
          </w:tcPr>
          <w:p w:rsidR="00000000" w:rsidDel="00000000" w:rsidP="00000000" w:rsidRDefault="00000000" w:rsidRPr="00000000" w14:paraId="00000026">
            <w:pPr>
              <w:spacing w:line="259" w:lineRule="auto"/>
              <w:jc w:val="center"/>
              <w:rPr>
                <w:b w:val="1"/>
              </w:rPr>
            </w:pPr>
            <w:r w:rsidDel="00000000" w:rsidR="00000000" w:rsidRPr="00000000">
              <w:rPr>
                <w:b w:val="1"/>
                <w:rtl w:val="0"/>
              </w:rPr>
              <w:t xml:space="preserve">$304,013.83</w:t>
            </w:r>
          </w:p>
        </w:tc>
      </w:tr>
      <w:tr>
        <w:trPr>
          <w:cantSplit w:val="0"/>
          <w:trHeight w:val="373" w:hRule="atLeast"/>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Summer Programming</w:t>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$2,427.93</w:t>
            </w:r>
            <w:r w:rsidDel="00000000" w:rsidR="00000000" w:rsidRPr="00000000">
              <w:rPr>
                <w:rtl w:val="0"/>
              </w:rPr>
            </w:r>
          </w:p>
        </w:tc>
        <w:tc>
          <w:tcPr>
            <w:vAlign w:val="center"/>
          </w:tcPr>
          <w:p w:rsidR="00000000" w:rsidDel="00000000" w:rsidP="00000000" w:rsidRDefault="00000000" w:rsidRPr="00000000" w14:paraId="0000002A">
            <w:pPr>
              <w:spacing w:line="259" w:lineRule="auto"/>
              <w:jc w:val="center"/>
              <w:rPr>
                <w:b w:val="1"/>
              </w:rPr>
            </w:pPr>
            <w:r w:rsidDel="00000000" w:rsidR="00000000" w:rsidRPr="00000000">
              <w:rPr>
                <w:b w:val="1"/>
                <w:rtl w:val="0"/>
              </w:rPr>
              <w:t xml:space="preserve">$275,000.00</w:t>
            </w:r>
          </w:p>
        </w:tc>
      </w:tr>
      <w:tr>
        <w:trPr>
          <w:cantSplit w:val="0"/>
          <w:trHeight w:val="373"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Early Reading</w:t>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E">
            <w:pPr>
              <w:spacing w:line="259" w:lineRule="auto"/>
              <w:jc w:val="center"/>
              <w:rPr>
                <w:b w:val="1"/>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Interventionists</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2">
            <w:pPr>
              <w:spacing w:line="259" w:lineRule="auto"/>
              <w:jc w:val="center"/>
              <w:rPr>
                <w:b w:val="1"/>
              </w:rPr>
            </w:pPr>
            <w:r w:rsidDel="00000000" w:rsidR="00000000" w:rsidRPr="00000000">
              <w:rPr>
                <w:b w:val="1"/>
                <w:rtl w:val="0"/>
              </w:rPr>
              <w:t xml:space="preserve">$532,678.44</w:t>
            </w:r>
          </w:p>
        </w:tc>
      </w:tr>
      <w:tr>
        <w:trPr>
          <w:cantSplit w:val="0"/>
          <w:trHeight w:val="373"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rPr>
            </w:pPr>
            <w:r w:rsidDel="00000000" w:rsidR="00000000" w:rsidRPr="00000000">
              <w:rPr>
                <w:b w:val="1"/>
                <w:rtl w:val="0"/>
              </w:rPr>
              <w:t xml:space="preserve">$41,599.19</w:t>
            </w:r>
          </w:p>
        </w:tc>
        <w:tc>
          <w:tcPr>
            <w:vAlign w:val="center"/>
          </w:tcPr>
          <w:p w:rsidR="00000000" w:rsidDel="00000000" w:rsidP="00000000" w:rsidRDefault="00000000" w:rsidRPr="00000000" w14:paraId="00000036">
            <w:pPr>
              <w:spacing w:line="259" w:lineRule="auto"/>
              <w:jc w:val="center"/>
              <w:rPr>
                <w:b w:val="1"/>
              </w:rPr>
            </w:pPr>
            <w:r w:rsidDel="00000000" w:rsidR="00000000" w:rsidRPr="00000000">
              <w:rPr>
                <w:b w:val="1"/>
                <w:rtl w:val="0"/>
              </w:rPr>
              <w:t xml:space="preserve">$721,599.19</w:t>
            </w:r>
          </w:p>
        </w:tc>
      </w:tr>
      <w:tr>
        <w:trPr>
          <w:cantSplit w:val="0"/>
          <w:trHeight w:val="373"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$67,357.12</w:t>
            </w:r>
            <w:r w:rsidDel="00000000" w:rsidR="00000000" w:rsidRPr="00000000">
              <w:rPr>
                <w:rtl w:val="0"/>
              </w:rPr>
            </w:r>
          </w:p>
        </w:tc>
        <w:tc>
          <w:tcPr>
            <w:vAlign w:val="center"/>
          </w:tcPr>
          <w:p w:rsidR="00000000" w:rsidDel="00000000" w:rsidP="00000000" w:rsidRDefault="00000000" w:rsidRPr="00000000" w14:paraId="0000003A">
            <w:pPr>
              <w:spacing w:line="259" w:lineRule="auto"/>
              <w:jc w:val="center"/>
              <w:rPr>
                <w:b w:val="1"/>
              </w:rPr>
            </w:pPr>
            <w:r w:rsidDel="00000000" w:rsidR="00000000" w:rsidRPr="00000000">
              <w:rPr>
                <w:b w:val="1"/>
                <w:rtl w:val="0"/>
              </w:rPr>
              <w:t xml:space="preserve">$1,833,291.46</w:t>
            </w:r>
          </w:p>
        </w:tc>
      </w:tr>
      <w:tr>
        <w:trPr>
          <w:cantSplit w:val="0"/>
          <w:trHeight w:val="373" w:hRule="atLeast"/>
          <w:tblHeader w:val="0"/>
        </w:trPr>
        <w:tc>
          <w:tcPr>
            <w:shd w:fill="002d72" w:val="clea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restart"/>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Readiness</w:t>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 and Dual Credit/ Enrollment Courses</w:t>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School Innovation</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Advising</w:t>
            </w:r>
          </w:p>
        </w:tc>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Special Populations</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$58,131.00</w:t>
            </w:r>
            <w:r w:rsidDel="00000000" w:rsidR="00000000" w:rsidRPr="00000000">
              <w:rPr>
                <w:rtl w:val="0"/>
              </w:rPr>
            </w:r>
          </w:p>
        </w:tc>
        <w:tc>
          <w:tcPr>
            <w:vAlign w:val="center"/>
          </w:tcPr>
          <w:p w:rsidR="00000000" w:rsidDel="00000000" w:rsidP="00000000" w:rsidRDefault="00000000" w:rsidRPr="00000000" w14:paraId="0000004E">
            <w:pPr>
              <w:spacing w:line="259" w:lineRule="auto"/>
              <w:jc w:val="center"/>
              <w:rPr>
                <w:b w:val="1"/>
              </w:rPr>
            </w:pPr>
            <w:r w:rsidDel="00000000" w:rsidR="00000000" w:rsidRPr="00000000">
              <w:rPr>
                <w:b w:val="1"/>
                <w:rtl w:val="0"/>
              </w:rPr>
              <w:t xml:space="preserve">$80,737.50</w:t>
            </w:r>
          </w:p>
        </w:tc>
      </w:tr>
      <w:tr>
        <w:trPr>
          <w:cantSplit w:val="0"/>
          <w:trHeight w:val="373" w:hRule="atLeast"/>
          <w:tblHeader w:val="0"/>
        </w:trPr>
        <w:tc>
          <w:tcPr>
            <w:vMerge w:val="continue"/>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Mental Health</w:t>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spacing w:line="259" w:lineRule="auto"/>
              <w:jc w:val="center"/>
              <w:rPr>
                <w:b w:val="1"/>
              </w:rPr>
            </w:pPr>
            <w:r w:rsidDel="00000000" w:rsidR="00000000" w:rsidRPr="00000000">
              <w:rPr>
                <w:b w:val="1"/>
                <w:rtl w:val="0"/>
              </w:rPr>
              <w:t xml:space="preserve">$28,107.55</w:t>
            </w:r>
          </w:p>
        </w:tc>
      </w:tr>
      <w:tr>
        <w:trPr>
          <w:cantSplit w:val="0"/>
          <w:trHeight w:val="373" w:hRule="atLeast"/>
          <w:tblHeader w:val="0"/>
        </w:trPr>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$55,987.08</w:t>
            </w:r>
            <w:r w:rsidDel="00000000" w:rsidR="00000000" w:rsidRPr="00000000">
              <w:rPr>
                <w:rtl w:val="0"/>
              </w:rPr>
            </w:r>
          </w:p>
        </w:tc>
        <w:tc>
          <w:tcPr>
            <w:vAlign w:val="center"/>
          </w:tcPr>
          <w:p w:rsidR="00000000" w:rsidDel="00000000" w:rsidP="00000000" w:rsidRDefault="00000000" w:rsidRPr="00000000" w14:paraId="00000056">
            <w:pPr>
              <w:spacing w:line="259" w:lineRule="auto"/>
              <w:jc w:val="center"/>
              <w:rPr>
                <w:b w:val="1"/>
              </w:rPr>
            </w:pPr>
            <w:r w:rsidDel="00000000" w:rsidR="00000000" w:rsidRPr="00000000">
              <w:rPr>
                <w:b w:val="1"/>
                <w:rtl w:val="0"/>
              </w:rPr>
              <w:t xml:space="preserve">$375,560.84</w:t>
            </w:r>
          </w:p>
        </w:tc>
      </w:tr>
      <w:tr>
        <w:trPr>
          <w:cantSplit w:val="0"/>
          <w:trHeight w:val="373" w:hRule="atLeast"/>
          <w:tblHeader w:val="0"/>
        </w:trPr>
        <w:tc>
          <w:tcPr>
            <w:vMerge w:val="continue"/>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$114,118.08</w:t>
            </w:r>
            <w:r w:rsidDel="00000000" w:rsidR="00000000" w:rsidRPr="00000000">
              <w:rPr>
                <w:rtl w:val="0"/>
              </w:rPr>
            </w:r>
          </w:p>
        </w:tc>
        <w:tc>
          <w:tcPr>
            <w:vAlign w:val="center"/>
          </w:tcPr>
          <w:p w:rsidR="00000000" w:rsidDel="00000000" w:rsidP="00000000" w:rsidRDefault="00000000" w:rsidRPr="00000000" w14:paraId="0000005A">
            <w:pPr>
              <w:spacing w:line="259" w:lineRule="auto"/>
              <w:jc w:val="center"/>
              <w:rPr>
                <w:b w:val="1"/>
              </w:rPr>
            </w:pPr>
            <w:r w:rsidDel="00000000" w:rsidR="00000000" w:rsidRPr="00000000">
              <w:rPr>
                <w:b w:val="1"/>
                <w:rtl w:val="0"/>
              </w:rPr>
              <w:t xml:space="preserve">$484,405.89</w:t>
            </w:r>
          </w:p>
        </w:tc>
      </w:tr>
      <w:tr>
        <w:trPr>
          <w:cantSplit w:val="0"/>
          <w:trHeight w:val="373" w:hRule="atLeast"/>
          <w:tblHeader w:val="0"/>
        </w:trPr>
        <w:tc>
          <w:tcPr>
            <w:shd w:fill="002d72" w:val="clea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restart"/>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Educators</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Strategic Teacher Retention</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Grow Your Own</w:t>
            </w:r>
          </w:p>
        </w:tc>
        <w:tc>
          <w:tcP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spacing w:line="259" w:lineRule="auto"/>
              <w:jc w:val="center"/>
              <w:rPr>
                <w:b w:val="1"/>
              </w:rPr>
            </w:pPr>
            <w:r w:rsidDel="00000000" w:rsidR="00000000" w:rsidRPr="00000000">
              <w:rPr>
                <w:b w:val="1"/>
                <w:rtl w:val="0"/>
              </w:rPr>
              <w:t xml:space="preserve">$100,000.00</w:t>
            </w:r>
          </w:p>
        </w:tc>
      </w:tr>
      <w:tr>
        <w:trPr>
          <w:cantSplit w:val="0"/>
          <w:trHeight w:val="373" w:hRule="atLeast"/>
          <w:tblHeader w:val="0"/>
        </w:trPr>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Class Size Reduction</w:t>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spacing w:line="259" w:lineRule="auto"/>
              <w:jc w:val="center"/>
              <w:rPr>
                <w:b w:val="1"/>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$22,440.00</w:t>
            </w:r>
            <w:r w:rsidDel="00000000" w:rsidR="00000000" w:rsidRPr="00000000">
              <w:rPr>
                <w:rtl w:val="0"/>
              </w:rPr>
            </w:r>
          </w:p>
        </w:tc>
        <w:tc>
          <w:tcPr>
            <w:vAlign w:val="center"/>
          </w:tcPr>
          <w:p w:rsidR="00000000" w:rsidDel="00000000" w:rsidP="00000000" w:rsidRDefault="00000000" w:rsidRPr="00000000" w14:paraId="0000006E">
            <w:pPr>
              <w:spacing w:line="259" w:lineRule="auto"/>
              <w:jc w:val="center"/>
              <w:rPr>
                <w:b w:val="1"/>
              </w:rPr>
            </w:pPr>
            <w:r w:rsidDel="00000000" w:rsidR="00000000" w:rsidRPr="00000000">
              <w:rPr>
                <w:b w:val="1"/>
                <w:rtl w:val="0"/>
              </w:rPr>
              <w:t xml:space="preserve">$46,000.00</w:t>
            </w:r>
          </w:p>
        </w:tc>
      </w:tr>
      <w:tr>
        <w:trPr>
          <w:cantSplit w:val="0"/>
          <w:trHeight w:val="373" w:hRule="atLeast"/>
          <w:tblHeader w:val="0"/>
        </w:trPr>
        <w:tc>
          <w:tcPr>
            <w:vMerge w:val="continue"/>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$22,440.00</w:t>
            </w:r>
            <w:r w:rsidDel="00000000" w:rsidR="00000000" w:rsidRPr="00000000">
              <w:rPr>
                <w:rtl w:val="0"/>
              </w:rPr>
            </w:r>
          </w:p>
        </w:tc>
        <w:tc>
          <w:tcPr>
            <w:vAlign w:val="center"/>
          </w:tcPr>
          <w:p w:rsidR="00000000" w:rsidDel="00000000" w:rsidP="00000000" w:rsidRDefault="00000000" w:rsidRPr="00000000" w14:paraId="00000072">
            <w:pPr>
              <w:spacing w:line="259" w:lineRule="auto"/>
              <w:jc w:val="center"/>
              <w:rPr>
                <w:b w:val="1"/>
              </w:rPr>
            </w:pPr>
            <w:r w:rsidDel="00000000" w:rsidR="00000000" w:rsidRPr="00000000">
              <w:rPr>
                <w:b w:val="1"/>
                <w:rtl w:val="0"/>
              </w:rPr>
              <w:t xml:space="preserve">$146,000.00</w:t>
            </w:r>
          </w:p>
        </w:tc>
      </w:tr>
      <w:tr>
        <w:trPr>
          <w:cantSplit w:val="0"/>
          <w:trHeight w:val="373" w:hRule="atLeast"/>
          <w:tblHeader w:val="0"/>
        </w:trPr>
        <w:tc>
          <w:tcPr>
            <w:shd w:fill="002d72" w:val="cle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restart"/>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Foundations</w:t>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Technology</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$60,496.80</w:t>
            </w:r>
            <w:r w:rsidDel="00000000" w:rsidR="00000000" w:rsidRPr="00000000">
              <w:rPr>
                <w:rtl w:val="0"/>
              </w:rPr>
            </w:r>
          </w:p>
        </w:tc>
        <w:tc>
          <w:tcPr>
            <w:vAlign w:val="center"/>
          </w:tcPr>
          <w:p w:rsidR="00000000" w:rsidDel="00000000" w:rsidP="00000000" w:rsidRDefault="00000000" w:rsidRPr="00000000" w14:paraId="0000007A">
            <w:pPr>
              <w:spacing w:line="259" w:lineRule="auto"/>
              <w:jc w:val="center"/>
              <w:rPr>
                <w:b w:val="1"/>
              </w:rPr>
            </w:pPr>
            <w:r w:rsidDel="00000000" w:rsidR="00000000" w:rsidRPr="00000000">
              <w:rPr>
                <w:b w:val="1"/>
                <w:rtl w:val="0"/>
              </w:rPr>
              <w:t xml:space="preserve">$1,687,053.60</w:t>
            </w:r>
          </w:p>
        </w:tc>
      </w:tr>
      <w:tr>
        <w:trPr>
          <w:cantSplit w:val="0"/>
          <w:trHeight w:val="373" w:hRule="atLeast"/>
          <w:tblHeader w:val="0"/>
        </w:trPr>
        <w:tc>
          <w:tcPr>
            <w:vMerge w:val="continue"/>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High-Speed Internet</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spacing w:line="259" w:lineRule="auto"/>
              <w:jc w:val="center"/>
              <w:rPr>
                <w:b w:val="1"/>
              </w:rPr>
            </w:pPr>
            <w:r w:rsidDel="00000000" w:rsidR="00000000" w:rsidRPr="00000000">
              <w:rPr>
                <w:b w:val="1"/>
                <w:rtl w:val="0"/>
              </w:rPr>
              <w:t xml:space="preserve"> </w:t>
            </w:r>
          </w:p>
        </w:tc>
      </w:tr>
      <w:tr>
        <w:trPr>
          <w:cantSplit w:val="0"/>
          <w:trHeight w:val="373" w:hRule="atLeast"/>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Space (facilities)</w:t>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$2,000,000.00</w:t>
            </w:r>
            <w:r w:rsidDel="00000000" w:rsidR="00000000" w:rsidRPr="00000000">
              <w:rPr>
                <w:rtl w:val="0"/>
              </w:rPr>
            </w:r>
          </w:p>
        </w:tc>
        <w:tc>
          <w:tcPr>
            <w:vAlign w:val="center"/>
          </w:tcPr>
          <w:p w:rsidR="00000000" w:rsidDel="00000000" w:rsidP="00000000" w:rsidRDefault="00000000" w:rsidRPr="00000000" w14:paraId="00000082">
            <w:pPr>
              <w:spacing w:line="259" w:lineRule="auto"/>
              <w:jc w:val="center"/>
              <w:rPr>
                <w:b w:val="1"/>
              </w:rPr>
            </w:pPr>
            <w:r w:rsidDel="00000000" w:rsidR="00000000" w:rsidRPr="00000000">
              <w:rPr>
                <w:b w:val="1"/>
                <w:rtl w:val="0"/>
              </w:rPr>
              <w:t xml:space="preserve">$2,513,325.61</w:t>
            </w:r>
          </w:p>
        </w:tc>
      </w:tr>
      <w:tr>
        <w:trPr>
          <w:cantSplit w:val="0"/>
          <w:trHeight w:val="373" w:hRule="atLeast"/>
          <w:tblHeader w:val="0"/>
        </w:trPr>
        <w:tc>
          <w:tcPr>
            <w:vMerge w:val="continue"/>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Auditing and Reporting</w:t>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$58,630.13</w:t>
            </w:r>
            <w:r w:rsidDel="00000000" w:rsidR="00000000" w:rsidRPr="00000000">
              <w:rPr>
                <w:rtl w:val="0"/>
              </w:rPr>
            </w:r>
          </w:p>
        </w:tc>
        <w:tc>
          <w:tcPr>
            <w:vAlign w:val="center"/>
          </w:tcPr>
          <w:p w:rsidR="00000000" w:rsidDel="00000000" w:rsidP="00000000" w:rsidRDefault="00000000" w:rsidRPr="00000000" w14:paraId="00000086">
            <w:pPr>
              <w:spacing w:line="259" w:lineRule="auto"/>
              <w:jc w:val="center"/>
              <w:rPr>
                <w:b w:val="1"/>
              </w:rPr>
            </w:pPr>
            <w:r w:rsidDel="00000000" w:rsidR="00000000" w:rsidRPr="00000000">
              <w:rPr>
                <w:b w:val="1"/>
                <w:rtl w:val="0"/>
              </w:rPr>
              <w:t xml:space="preserve">$76,099.11</w:t>
            </w:r>
          </w:p>
        </w:tc>
      </w:tr>
      <w:tr>
        <w:trPr>
          <w:cantSplit w:val="0"/>
          <w:trHeight w:val="373" w:hRule="atLeast"/>
          <w:tblHeader w:val="0"/>
        </w:trPr>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$193,995.00</w:t>
            </w:r>
            <w:r w:rsidDel="00000000" w:rsidR="00000000" w:rsidRPr="00000000">
              <w:rPr>
                <w:rtl w:val="0"/>
              </w:rPr>
            </w:r>
          </w:p>
        </w:tc>
        <w:tc>
          <w:tcPr>
            <w:vAlign w:val="center"/>
          </w:tcPr>
          <w:p w:rsidR="00000000" w:rsidDel="00000000" w:rsidP="00000000" w:rsidRDefault="00000000" w:rsidRPr="00000000" w14:paraId="0000008A">
            <w:pPr>
              <w:spacing w:line="259" w:lineRule="auto"/>
              <w:jc w:val="center"/>
              <w:rPr>
                <w:b w:val="1"/>
              </w:rPr>
            </w:pPr>
            <w:r w:rsidDel="00000000" w:rsidR="00000000" w:rsidRPr="00000000">
              <w:rPr>
                <w:b w:val="1"/>
                <w:rtl w:val="0"/>
              </w:rPr>
              <w:t xml:space="preserve">$331,176.53</w:t>
            </w:r>
          </w:p>
        </w:tc>
      </w:tr>
      <w:tr>
        <w:trPr>
          <w:cantSplit w:val="0"/>
          <w:trHeight w:val="373" w:hRule="atLeast"/>
          <w:tblHeader w:val="0"/>
        </w:trPr>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rtl w:val="0"/>
              </w:rPr>
              <w:t xml:space="preserve">$2,313,121.93</w:t>
            </w:r>
            <w:r w:rsidDel="00000000" w:rsidR="00000000" w:rsidRPr="00000000">
              <w:rPr>
                <w:rtl w:val="0"/>
              </w:rPr>
            </w:r>
          </w:p>
        </w:tc>
        <w:tc>
          <w:tcPr>
            <w:vAlign w:val="center"/>
          </w:tcPr>
          <w:p w:rsidR="00000000" w:rsidDel="00000000" w:rsidP="00000000" w:rsidRDefault="00000000" w:rsidRPr="00000000" w14:paraId="0000008E">
            <w:pPr>
              <w:spacing w:line="259" w:lineRule="auto"/>
              <w:jc w:val="center"/>
              <w:rPr>
                <w:b w:val="1"/>
              </w:rPr>
            </w:pPr>
            <w:r w:rsidDel="00000000" w:rsidR="00000000" w:rsidRPr="00000000">
              <w:rPr>
                <w:b w:val="1"/>
                <w:rtl w:val="0"/>
              </w:rPr>
              <w:t xml:space="preserve">$4,607,654.85</w:t>
            </w:r>
          </w:p>
        </w:tc>
      </w:tr>
      <w:tr>
        <w:trPr>
          <w:cantSplit w:val="0"/>
          <w:trHeight w:val="373" w:hRule="atLeast"/>
          <w:tblHeader w:val="0"/>
        </w:trPr>
        <w:tc>
          <w:tcPr>
            <w:shd w:fill="002d72"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gridSpan w:val="2"/>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b w:val="1"/>
                <w:rtl w:val="0"/>
              </w:rPr>
              <w:t xml:space="preserve">$2,517,037.13</w:t>
            </w:r>
            <w:r w:rsidDel="00000000" w:rsidR="00000000" w:rsidRPr="00000000">
              <w:rPr>
                <w:rtl w:val="0"/>
              </w:rPr>
            </w:r>
          </w:p>
        </w:tc>
        <w:tc>
          <w:tcPr>
            <w:vAlign w:val="center"/>
          </w:tcPr>
          <w:p w:rsidR="00000000" w:rsidDel="00000000" w:rsidP="00000000" w:rsidRDefault="00000000" w:rsidRPr="00000000" w14:paraId="00000096">
            <w:pPr>
              <w:spacing w:line="259" w:lineRule="auto"/>
              <w:jc w:val="center"/>
              <w:rPr>
                <w:b w:val="1"/>
              </w:rPr>
            </w:pPr>
            <w:r w:rsidDel="00000000" w:rsidR="00000000" w:rsidRPr="00000000">
              <w:rPr>
                <w:b w:val="1"/>
                <w:rtl w:val="0"/>
              </w:rPr>
              <w:t xml:space="preserve">$7,071,352.20</w:t>
            </w:r>
          </w:p>
        </w:tc>
      </w:tr>
    </w:tbl>
    <w:p w:rsidR="00000000" w:rsidDel="00000000" w:rsidP="00000000" w:rsidRDefault="00000000" w:rsidRPr="00000000" w14:paraId="00000097">
      <w:pPr>
        <w:rPr/>
      </w:pPr>
      <w:r w:rsidDel="00000000" w:rsidR="00000000" w:rsidRPr="00000000">
        <w:br w:type="page"/>
      </w:r>
      <w:r w:rsidDel="00000000" w:rsidR="00000000" w:rsidRPr="00000000">
        <w:rPr>
          <w:rtl w:val="0"/>
        </w:rPr>
        <w:t xml:space="preserve">Academics</w:t>
      </w:r>
    </w:p>
    <w:p w:rsidR="00000000" w:rsidDel="00000000" w:rsidP="00000000" w:rsidRDefault="00000000" w:rsidRPr="00000000" w14:paraId="0000009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accelerate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Academic Achievement</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99">
            <w:pPr>
              <w:spacing w:line="259" w:lineRule="auto"/>
              <w:rPr/>
            </w:pPr>
            <w:r w:rsidDel="00000000" w:rsidR="00000000" w:rsidRPr="00000000">
              <w:rPr>
                <w:rtl w:val="0"/>
              </w:rPr>
              <w:t xml:space="preserve">In our needs assessment we identified the need for more technology programming, continued use of high quality instructional materials in math and reading and high dosage tutoring to aid in addressing learning loss.  We have hired interventionists at the K-5 schools, a part-time instructor for our alternative school, implemented a high dosage tutoring program and will offer a summer learning program.</w:t>
            </w: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9C">
            <w:pPr>
              <w:spacing w:line="259" w:lineRule="auto"/>
              <w:rPr/>
            </w:pPr>
            <w:r w:rsidDel="00000000" w:rsidR="00000000" w:rsidRPr="00000000">
              <w:rPr>
                <w:rtl w:val="0"/>
              </w:rPr>
              <w:t xml:space="preserve">Our other category includes Edmentum for credit recovery, high quality materials for literacy and math and a support staff position to track attendance and facilitate communication between schools and families about attendance issues.</w:t>
            </w: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rPr/>
      </w:pPr>
      <w:r w:rsidDel="00000000" w:rsidR="00000000" w:rsidRPr="00000000">
        <w:rPr>
          <w:rtl w:val="0"/>
        </w:rPr>
        <w:t xml:space="preserve">Student Readiness</w:t>
      </w:r>
    </w:p>
    <w:p w:rsidR="00000000" w:rsidDel="00000000" w:rsidP="00000000" w:rsidRDefault="00000000" w:rsidRPr="00000000" w14:paraId="0000009F">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support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Student Readiness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and the School-Related Supports necessary to access high-quality instruction, including how allocations support the investments identified in the district’s needs assessment.</w:t>
      </w:r>
    </w:p>
    <w:tbl>
      <w:tblPr>
        <w:tblStyle w:val="Table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0">
            <w:pPr>
              <w:spacing w:line="259" w:lineRule="auto"/>
              <w:rPr/>
            </w:pPr>
            <w:r w:rsidDel="00000000" w:rsidR="00000000" w:rsidRPr="00000000">
              <w:rPr>
                <w:rtl w:val="0"/>
              </w:rPr>
              <w:t xml:space="preserve">Our identified needs are special population assistance and increased mental health support.  We have added assistants to provide tutoring for special needs students and will provide social workers to provide mental health support to students using our summer learning camp.</w:t>
            </w: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3">
            <w:pPr>
              <w:spacing w:line="259" w:lineRule="auto"/>
              <w:rPr/>
            </w:pPr>
            <w:r w:rsidDel="00000000" w:rsidR="00000000" w:rsidRPr="00000000">
              <w:rPr>
                <w:rtl w:val="0"/>
              </w:rPr>
              <w:t xml:space="preserve">Our initiatives include additional nursing services during the regular school year and summer.  We also offer STEM programming at our two intermediate schools to introduce students to those fields of study and look to expand CTE into the middle schools.</w:t>
            </w: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rPr/>
      </w:pPr>
      <w:r w:rsidDel="00000000" w:rsidR="00000000" w:rsidRPr="00000000">
        <w:rPr>
          <w:rtl w:val="0"/>
        </w:rPr>
        <w:t xml:space="preserve">Educators</w:t>
      </w:r>
    </w:p>
    <w:p w:rsidR="00000000" w:rsidDel="00000000" w:rsidP="00000000" w:rsidRDefault="00000000" w:rsidRPr="00000000" w14:paraId="000000A6">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Recruit, Retain and Support Educators and School Personnel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8"/>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7">
            <w:pPr>
              <w:spacing w:line="259" w:lineRule="auto"/>
              <w:rPr/>
            </w:pPr>
            <w:r w:rsidDel="00000000" w:rsidR="00000000" w:rsidRPr="00000000">
              <w:rPr>
                <w:rtl w:val="0"/>
              </w:rPr>
              <w:t xml:space="preserve">We are participating in the “Grow Your Own” program.  With this program we hope to build partnerships with individuals to begin as math tutors and grow them into teachers.</w:t>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9"/>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A">
            <w:pPr>
              <w:spacing w:line="259" w:lineRule="auto"/>
              <w:rPr/>
            </w:pPr>
            <w:r w:rsidDel="00000000" w:rsidR="00000000" w:rsidRPr="00000000">
              <w:rPr>
                <w:rtl w:val="0"/>
              </w:rPr>
              <w:t xml:space="preserve">This other category includes professional development for teachers to better integrate technology in their classrooms and improve instructional practices.</w:t>
            </w: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keepNext w:val="1"/>
        <w:rPr/>
      </w:pPr>
      <w:r w:rsidDel="00000000" w:rsidR="00000000" w:rsidRPr="00000000">
        <w:rPr>
          <w:rtl w:val="0"/>
        </w:rPr>
        <w:t xml:space="preserve">Foundations</w:t>
      </w:r>
    </w:p>
    <w:p w:rsidR="00000000" w:rsidDel="00000000" w:rsidP="00000000" w:rsidRDefault="00000000" w:rsidRPr="00000000" w14:paraId="000000AD">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Strengthen Structural Expectations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10"/>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pPr>
            <w:r w:rsidDel="00000000" w:rsidR="00000000" w:rsidRPr="00000000">
              <w:rPr>
                <w:rtl w:val="0"/>
              </w:rPr>
              <w:t xml:space="preserve">Allocations here are being used to increase spacing on playgrounds by having more equipment to play on.  In order to improve air quality we will replace HVAC units, windows and doors at some schools.  For technology, we are purchasing Achieve3000, more chromebooks and desktop computers, and audio visual enhancements in classrooms.  In order to properly maintain our devices a technology position has been added here as well.</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1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t xml:space="preserve">This category includes additional cleaning to prevent the spread of illness and professional services for ongoing projects.</w:t>
            </w: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2"/>
        <w:rPr/>
      </w:pPr>
      <w:r w:rsidDel="00000000" w:rsidR="00000000" w:rsidRPr="00000000">
        <w:rPr>
          <w:rtl w:val="0"/>
        </w:rPr>
        <w:t xml:space="preserve">Monitoring, Auditing, and Reporting </w:t>
      </w:r>
    </w:p>
    <w:p w:rsidR="00000000" w:rsidDel="00000000" w:rsidP="00000000" w:rsidRDefault="00000000" w:rsidRPr="00000000" w14:paraId="000000B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Outline how the LEA is continuing to actively monitor allocations; conducting interim audits to ensure an appropriate application of funds; collecting and managing data elements required to be reported; and reporting this information to the community. </w:t>
      </w:r>
    </w:p>
    <w:tbl>
      <w:tblPr>
        <w:tblStyle w:val="Table1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5">
            <w:pPr>
              <w:spacing w:line="259" w:lineRule="auto"/>
              <w:rPr/>
            </w:pPr>
            <w:r w:rsidDel="00000000" w:rsidR="00000000" w:rsidRPr="00000000">
              <w:rPr>
                <w:rtl w:val="0"/>
              </w:rPr>
              <w:t xml:space="preserve">Our ESSER manager monitors all ESSER allocations.  All requests for ESSER purchases are processed by the manager to maintain proper purchasing practices.  The ESSER manager reports to the board and public monthly during meetings to communicate ESSER information.  We are part of a three county consortium that meets quarterly to discuss, in part, how to best monitor allocations.  </w:t>
            </w: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is meeting the requirements to spend 20 percent of </w:t>
      </w:r>
      <w:r w:rsidDel="00000000" w:rsidR="00000000" w:rsidRPr="00000000">
        <w:rPr>
          <w:rFonts w:ascii="Open Sans" w:cs="Open Sans" w:eastAsia="Open Sans" w:hAnsi="Open Sans"/>
          <w:b w:val="1"/>
          <w:i w:val="0"/>
          <w:smallCaps w:val="0"/>
          <w:strike w:val="0"/>
          <w:color w:val="000000"/>
          <w:sz w:val="20"/>
          <w:szCs w:val="20"/>
          <w:u w:val="single"/>
          <w:shd w:fill="auto" w:val="clear"/>
          <w:vertAlign w:val="baseline"/>
          <w:rtl w:val="0"/>
        </w:rPr>
        <w:t xml:space="preserve">the total ESSER 3.0</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0"/>
          <w:szCs w:val="20"/>
          <w:u w:val="single"/>
          <w:shd w:fill="auto" w:val="clear"/>
          <w:vertAlign w:val="baseline"/>
          <w:rtl w:val="0"/>
        </w:rPr>
        <w:t xml:space="preserve">allocation</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on direct services to students to address learning loss, or indicate participation in TN ALL Corps.</w:t>
      </w:r>
    </w:p>
    <w:tbl>
      <w:tblPr>
        <w:tblStyle w:val="Table1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smallCaps w:val="0"/>
                <w:strike w:val="0"/>
                <w:color w:val="000000"/>
                <w:sz w:val="20"/>
                <w:szCs w:val="20"/>
                <w:u w:val="none"/>
                <w:shd w:fill="auto" w:val="clear"/>
                <w:vertAlign w:val="baseline"/>
              </w:rPr>
            </w:pPr>
            <w:r w:rsidDel="00000000" w:rsidR="00000000" w:rsidRPr="00000000">
              <w:rPr>
                <w:rtl w:val="0"/>
              </w:rPr>
              <w:t xml:space="preserve">We participate in TN All Corps.</w:t>
            </w: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2"/>
        <w:rPr>
          <w:color w:val="000000"/>
        </w:rPr>
      </w:pPr>
      <w:r w:rsidDel="00000000" w:rsidR="00000000" w:rsidRPr="00000000">
        <w:rPr>
          <w:rtl w:val="0"/>
        </w:rPr>
        <w:t xml:space="preserve">Family and Community Engagement </w:t>
      </w:r>
      <w:r w:rsidDel="00000000" w:rsidR="00000000" w:rsidRPr="00000000">
        <w:rPr>
          <w:rtl w:val="0"/>
        </w:rPr>
      </w:r>
    </w:p>
    <w:p w:rsidR="00000000" w:rsidDel="00000000" w:rsidP="00000000" w:rsidRDefault="00000000" w:rsidRPr="00000000" w14:paraId="000000B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heading=h.1fob9te" w:id="0"/>
      <w:bookmarkEnd w:id="0"/>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has continued to engage in meaningful consultation with stakeholders in the development of the revised plan.</w:t>
      </w:r>
    </w:p>
    <w:tbl>
      <w:tblPr>
        <w:tblStyle w:val="Table14"/>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C">
            <w:pPr>
              <w:spacing w:line="259" w:lineRule="auto"/>
              <w:rPr/>
            </w:pPr>
            <w:r w:rsidDel="00000000" w:rsidR="00000000" w:rsidRPr="00000000">
              <w:rPr>
                <w:rtl w:val="0"/>
              </w:rPr>
              <w:t xml:space="preserve">The Hickman County School System continues to engage with stakeholders in a variety of ways.  Within our system there are four task force groups that work on initiatives in the school system's strategic plan.  Each task force group includes school and district administrators, teachers, parents, and community stakeholders.  In addition, each school also has a leadership team that consists of educators, support staff, and parents.  Hickman County also has a parent advisory committee that provides feedback to the school system on how they feel district goals and initiatives are proceeding.  Feedback for school system priorities is sought and discussed in those meetings and through other parent and community surveys. Surveys were sent to the community, parents, as well as the Hickman County Chamber of Commerce, the Hickman County Business Education Council, and the Hickman County Economic Development Association. </w:t>
            </w: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at minimum 10 percent of the total stakeholders engaged vs. responses received in the development of the revised plan. </w:t>
      </w:r>
    </w:p>
    <w:tbl>
      <w:tblPr>
        <w:tblStyle w:val="Table15"/>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F">
            <w:pPr>
              <w:spacing w:line="259" w:lineRule="auto"/>
              <w:rPr/>
            </w:pPr>
            <w:r w:rsidDel="00000000" w:rsidR="00000000" w:rsidRPr="00000000">
              <w:rPr>
                <w:rtl w:val="0"/>
              </w:rPr>
              <w:t xml:space="preserve">A survey sent through email to parents, teachers, other school officials and community groups allowed us to reach the 10 percent engagement level.  We also engaged stakeholders through leadership, staff and student advisory meetings.</w:t>
            </w: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 representation of a diverse population of stakeholders.</w:t>
      </w:r>
    </w:p>
    <w:tbl>
      <w:tblPr>
        <w:tblStyle w:val="Table16"/>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2">
            <w:pPr>
              <w:spacing w:line="259" w:lineRule="auto"/>
              <w:rPr/>
            </w:pPr>
            <w:r w:rsidDel="00000000" w:rsidR="00000000" w:rsidRPr="00000000">
              <w:rPr>
                <w:rtl w:val="0"/>
              </w:rPr>
              <w:t xml:space="preserve">We use public meetings, surveys and the district website to gain input from stakeholders and encourage maximum engagement from all parties.</w:t>
            </w: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used multiple modes of engagement (such as surveys, scheduled in-person or virtual meetings, and town halls) to gain input from stakeholders in the development of the revised plan.</w:t>
      </w:r>
    </w:p>
    <w:tbl>
      <w:tblPr>
        <w:tblStyle w:val="Table17"/>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5">
            <w:pPr>
              <w:spacing w:line="259" w:lineRule="auto"/>
              <w:rPr/>
            </w:pPr>
            <w:r w:rsidDel="00000000" w:rsidR="00000000" w:rsidRPr="00000000">
              <w:rPr>
                <w:rtl w:val="0"/>
              </w:rPr>
              <w:t xml:space="preserve">We use public meetings, surveys and the district website to gain input from stakeholders.</w:t>
            </w: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sectPr>
      <w:headerReference r:id="rId7" w:type="default"/>
      <w:footerReference r:id="rId8" w:type="default"/>
      <w:pgSz w:h="15840" w:w="12240" w:orient="portrait"/>
      <w:pgMar w:bottom="1440" w:top="1440"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ermianSlabSerifTypeface"/>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80"/>
      </w:tabs>
      <w:spacing w:after="0" w:before="0" w:line="240" w:lineRule="auto"/>
      <w:ind w:left="0" w:right="0" w:firstLine="0"/>
      <w:jc w:val="left"/>
      <w:rPr>
        <w:rFonts w:ascii="Open Sans" w:cs="Open Sans" w:eastAsia="Open Sans" w:hAnsi="Open Sans"/>
        <w:b w:val="0"/>
        <w:i w:val="0"/>
        <w:smallCaps w:val="0"/>
        <w:strike w:val="0"/>
        <w:color w:val="1d1e1e"/>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Division of Federal Programs and Oversight</w:t>
      <w:tab/>
    </w:r>
    <w:r w:rsidDel="00000000" w:rsidR="00000000" w:rsidRPr="00000000">
      <w:rPr>
        <w:rFonts w:ascii="Open Sans" w:cs="Open Sans" w:eastAsia="Open Sans" w:hAnsi="Open Sans"/>
        <w:b w:val="0"/>
        <w:i w:val="0"/>
        <w:smallCaps w:val="0"/>
        <w:strike w:val="0"/>
        <w:color w:val="1d1e1e"/>
        <w:sz w:val="20"/>
        <w:szCs w:val="20"/>
        <w:u w:val="none"/>
        <w:shd w:fill="e6e6e6"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tl w:val="0"/>
      </w:rPr>
      <w:t xml:space="preserve"> | January 2023</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descr="Red Line&#10;" id="6"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descr="Red Line&#10;" id="6"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Andrew Johnson Tower • 710 James Robertson Parkway • Nashville, TN 37243</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b579a"/>
        <w:sz w:val="20"/>
        <w:szCs w:val="20"/>
        <w:u w:val="none"/>
        <w:shd w:fill="e6e6e6" w:val="clear"/>
        <w:vertAlign w:val="baseline"/>
      </w:rPr>
      <w:drawing>
        <wp:inline distB="0" distT="0" distL="0" distR="0">
          <wp:extent cx="1417320" cy="557530"/>
          <wp:effectExtent b="0" l="0" r="0" t="0"/>
          <wp:docPr descr="TN Dept of Education&#10;" id="7"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53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ermianSlabSerifTypeface" w:cs="PermianSlabSerifTypeface" w:eastAsia="PermianSlabSerifTypeface" w:hAnsi="PermianSlabSerifTypeface"/>
      <w:b w:val="1"/>
      <w:sz w:val="32"/>
      <w:szCs w:val="32"/>
    </w:rPr>
  </w:style>
  <w:style w:type="paragraph" w:styleId="Normal" w:default="1">
    <w:name w:val="Normal"/>
    <w:qFormat w:val="1"/>
    <w:rsid w:val="001A7FA9"/>
    <w:pPr>
      <w:spacing w:after="120"/>
    </w:pPr>
    <w:rPr>
      <w:rFonts w:ascii="Open Sans" w:cs="Open Sans" w:hAnsi="Open Sans"/>
      <w:sz w:val="20"/>
    </w:rPr>
  </w:style>
  <w:style w:type="paragraph" w:styleId="Heading1">
    <w:name w:val="heading 1"/>
    <w:basedOn w:val="Normal"/>
    <w:next w:val="Normal"/>
    <w:link w:val="Heading1Char"/>
    <w:uiPriority w:val="9"/>
    <w:qFormat w:val="1"/>
    <w:rsid w:val="001A7FA9"/>
    <w:pPr>
      <w:outlineLvl w:val="0"/>
    </w:pPr>
    <w:rPr>
      <w:b w:val="1"/>
    </w:rPr>
  </w:style>
  <w:style w:type="paragraph" w:styleId="Heading2">
    <w:name w:val="heading 2"/>
    <w:basedOn w:val="Normal"/>
    <w:next w:val="Normal"/>
    <w:link w:val="Heading2Char"/>
    <w:uiPriority w:val="9"/>
    <w:unhideWhenUsed w:val="1"/>
    <w:qFormat w:val="1"/>
    <w:rsid w:val="001A7FA9"/>
    <w:pPr>
      <w:outlineLvl w:val="1"/>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1" w:customStyle="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styleId="Default" w:customStyle="1">
    <w:name w:val="Default"/>
    <w:rsid w:val="009728BA"/>
    <w:pPr>
      <w:autoSpaceDE w:val="0"/>
      <w:autoSpaceDN w:val="0"/>
      <w:adjustRightInd w:val="0"/>
      <w:spacing w:after="0" w:line="240" w:lineRule="auto"/>
    </w:pPr>
    <w:rPr>
      <w:rFonts w:ascii="Open Sans" w:cs="Open Sans" w:hAnsi="Open Sans"/>
      <w:color w:val="000000"/>
      <w:sz w:val="24"/>
      <w:szCs w:val="24"/>
    </w:rPr>
  </w:style>
  <w:style w:type="paragraph" w:styleId="CM11" w:customStyle="1">
    <w:name w:val="CM11"/>
    <w:basedOn w:val="Default"/>
    <w:next w:val="Default"/>
    <w:uiPriority w:val="99"/>
    <w:rsid w:val="009728BA"/>
    <w:rPr>
      <w:rFonts w:cs="Times New Roman"/>
      <w:color w:val="auto"/>
    </w:rPr>
  </w:style>
  <w:style w:type="paragraph" w:styleId="CM9" w:customStyle="1">
    <w:name w:val="CM9"/>
    <w:basedOn w:val="Default"/>
    <w:next w:val="Default"/>
    <w:uiPriority w:val="99"/>
    <w:rsid w:val="009728BA"/>
    <w:pPr>
      <w:spacing w:line="266" w:lineRule="atLeast"/>
    </w:pPr>
    <w:rPr>
      <w:rFonts w:cs="Times New Roman"/>
      <w:color w:val="auto"/>
    </w:rPr>
  </w:style>
  <w:style w:type="paragraph" w:styleId="CM3" w:customStyle="1">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val="1"/>
    <w:rsid w:val="00147A5F"/>
    <w:pPr>
      <w:ind w:left="720"/>
      <w:contextualSpacing w:val="1"/>
    </w:p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unhideWhenUsed w:val="1"/>
    <w:rsid w:val="00AD34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483"/>
  </w:style>
  <w:style w:type="paragraph" w:styleId="Footer">
    <w:name w:val="footer"/>
    <w:basedOn w:val="Normal"/>
    <w:link w:val="FooterChar"/>
    <w:uiPriority w:val="99"/>
    <w:unhideWhenUsed w:val="1"/>
    <w:rsid w:val="00AD34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483"/>
  </w:style>
  <w:style w:type="paragraph" w:styleId="Title">
    <w:name w:val="Title"/>
    <w:basedOn w:val="Normal"/>
    <w:next w:val="Normal"/>
    <w:link w:val="TitleChar"/>
    <w:uiPriority w:val="10"/>
    <w:qFormat w:val="1"/>
    <w:rsid w:val="00452E6C"/>
    <w:pPr>
      <w:jc w:val="center"/>
    </w:pPr>
    <w:rPr>
      <w:rFonts w:ascii="PermianSlabSerifTypeface" w:hAnsi="PermianSlabSerifTypeface"/>
      <w:b w:val="1"/>
      <w:bCs w:val="1"/>
      <w:sz w:val="32"/>
    </w:rPr>
  </w:style>
  <w:style w:type="character" w:styleId="TitleChar" w:customStyle="1">
    <w:name w:val="Title Char"/>
    <w:basedOn w:val="DefaultParagraphFont"/>
    <w:link w:val="Title"/>
    <w:uiPriority w:val="10"/>
    <w:rsid w:val="00452E6C"/>
    <w:rPr>
      <w:rFonts w:ascii="PermianSlabSerifTypeface" w:cs="Open Sans" w:hAnsi="PermianSlabSerifTypeface"/>
      <w:b w:val="1"/>
      <w:bCs w:val="1"/>
      <w:sz w:val="32"/>
    </w:rPr>
  </w:style>
  <w:style w:type="paragraph" w:styleId="Subtitle">
    <w:name w:val="Subtitle"/>
    <w:basedOn w:val="Normal"/>
    <w:next w:val="Normal"/>
    <w:link w:val="SubtitleChar"/>
    <w:uiPriority w:val="11"/>
    <w:qFormat w:val="1"/>
    <w:rsid w:val="00F939F8"/>
    <w:pPr>
      <w:jc w:val="center"/>
    </w:pPr>
    <w:rPr>
      <w:rFonts w:ascii="PermianSlabSerifTypeface" w:hAnsi="PermianSlabSerifTypeface"/>
      <w:sz w:val="32"/>
    </w:rPr>
  </w:style>
  <w:style w:type="character" w:styleId="SubtitleChar" w:customStyle="1">
    <w:name w:val="Subtitle Char"/>
    <w:basedOn w:val="DefaultParagraphFont"/>
    <w:link w:val="Subtitle"/>
    <w:uiPriority w:val="11"/>
    <w:rsid w:val="00F939F8"/>
    <w:rPr>
      <w:rFonts w:ascii="PermianSlabSerifTypeface" w:cs="Open Sans" w:hAnsi="PermianSlabSerifTypeface"/>
      <w:sz w:val="32"/>
    </w:rPr>
  </w:style>
  <w:style w:type="character" w:styleId="Heading1Char" w:customStyle="1">
    <w:name w:val="Heading 1 Char"/>
    <w:basedOn w:val="DefaultParagraphFont"/>
    <w:link w:val="Heading1"/>
    <w:uiPriority w:val="9"/>
    <w:rsid w:val="001A7FA9"/>
    <w:rPr>
      <w:rFonts w:ascii="Open Sans" w:cs="Open Sans" w:hAnsi="Open Sans"/>
      <w:b w:val="1"/>
      <w:sz w:val="20"/>
    </w:rPr>
  </w:style>
  <w:style w:type="character" w:styleId="Heading2Char" w:customStyle="1">
    <w:name w:val="Heading 2 Char"/>
    <w:basedOn w:val="DefaultParagraphFont"/>
    <w:link w:val="Heading2"/>
    <w:uiPriority w:val="9"/>
    <w:rsid w:val="001A7FA9"/>
    <w:rPr>
      <w:rFonts w:ascii="Open Sans" w:cs="Open Sans" w:hAnsi="Open Sans"/>
      <w:b w:val="1"/>
      <w:i w:val="1"/>
      <w:sz w:val="20"/>
    </w:rPr>
  </w:style>
  <w:style w:type="paragraph" w:styleId="NoSpacing">
    <w:name w:val="No Spacing"/>
    <w:uiPriority w:val="1"/>
    <w:qFormat w:val="1"/>
    <w:rsid w:val="00F55545"/>
    <w:pPr>
      <w:spacing w:after="0" w:line="240" w:lineRule="auto"/>
    </w:pPr>
    <w:rPr>
      <w:rFonts w:ascii="Open Sans" w:cs="Open Sans" w:hAnsi="Open Sans"/>
      <w:sz w:val="20"/>
    </w:rPr>
  </w:style>
  <w:style w:type="character" w:styleId="CommentReference">
    <w:name w:val="annotation reference"/>
    <w:basedOn w:val="DefaultParagraphFont"/>
    <w:uiPriority w:val="99"/>
    <w:semiHidden w:val="1"/>
    <w:unhideWhenUsed w:val="1"/>
    <w:rsid w:val="0093002D"/>
    <w:rPr>
      <w:sz w:val="16"/>
      <w:szCs w:val="16"/>
    </w:rPr>
  </w:style>
  <w:style w:type="paragraph" w:styleId="CommentText">
    <w:name w:val="annotation text"/>
    <w:basedOn w:val="Normal"/>
    <w:link w:val="CommentTextChar"/>
    <w:uiPriority w:val="99"/>
    <w:semiHidden w:val="1"/>
    <w:unhideWhenUsed w:val="1"/>
    <w:rsid w:val="0093002D"/>
    <w:pPr>
      <w:spacing w:line="240" w:lineRule="auto"/>
    </w:pPr>
    <w:rPr>
      <w:szCs w:val="20"/>
    </w:rPr>
  </w:style>
  <w:style w:type="character" w:styleId="CommentTextChar" w:customStyle="1">
    <w:name w:val="Comment Text Char"/>
    <w:basedOn w:val="DefaultParagraphFont"/>
    <w:link w:val="CommentText"/>
    <w:uiPriority w:val="99"/>
    <w:semiHidden w:val="1"/>
    <w:rsid w:val="0093002D"/>
    <w:rPr>
      <w:rFonts w:ascii="Open Sans" w:cs="Open Sans" w:hAnsi="Open Sans"/>
      <w:sz w:val="20"/>
      <w:szCs w:val="20"/>
    </w:rPr>
  </w:style>
  <w:style w:type="paragraph" w:styleId="CommentSubject">
    <w:name w:val="annotation subject"/>
    <w:basedOn w:val="CommentText"/>
    <w:next w:val="CommentText"/>
    <w:link w:val="CommentSubjectChar"/>
    <w:uiPriority w:val="99"/>
    <w:semiHidden w:val="1"/>
    <w:unhideWhenUsed w:val="1"/>
    <w:rsid w:val="0093002D"/>
    <w:rPr>
      <w:b w:val="1"/>
      <w:bCs w:val="1"/>
    </w:rPr>
  </w:style>
  <w:style w:type="character" w:styleId="CommentSubjectChar" w:customStyle="1">
    <w:name w:val="Comment Subject Char"/>
    <w:basedOn w:val="CommentTextChar"/>
    <w:link w:val="CommentSubject"/>
    <w:uiPriority w:val="99"/>
    <w:semiHidden w:val="1"/>
    <w:rsid w:val="0093002D"/>
    <w:rPr>
      <w:rFonts w:ascii="Open Sans" w:cs="Open Sans" w:hAnsi="Open Sans"/>
      <w:b w:val="1"/>
      <w:bCs w:val="1"/>
      <w:sz w:val="20"/>
      <w:szCs w:val="20"/>
    </w:rPr>
  </w:style>
  <w:style w:type="paragraph" w:styleId="Revision">
    <w:name w:val="Revision"/>
    <w:hidden w:val="1"/>
    <w:uiPriority w:val="99"/>
    <w:semiHidden w:val="1"/>
    <w:rsid w:val="001D3EC7"/>
    <w:pPr>
      <w:spacing w:after="0" w:line="240" w:lineRule="auto"/>
    </w:pPr>
    <w:rPr>
      <w:rFonts w:ascii="Open Sans" w:cs="Open Sans" w:hAnsi="Open Sans"/>
      <w:sz w:val="20"/>
    </w:rPr>
  </w:style>
  <w:style w:type="character" w:styleId="PlaceholderText">
    <w:name w:val="Placeholder Text"/>
    <w:basedOn w:val="DefaultParagraphFont"/>
    <w:uiPriority w:val="99"/>
    <w:semiHidden w:val="1"/>
    <w:rsid w:val="00255D33"/>
    <w:rPr>
      <w:color w:val="808080"/>
    </w:rPr>
  </w:style>
  <w:style w:type="character" w:styleId="Mention">
    <w:name w:val="Mention"/>
    <w:basedOn w:val="DefaultParagraphFont"/>
    <w:uiPriority w:val="99"/>
    <w:unhideWhenUsed w:val="1"/>
    <w:rPr>
      <w:color w:val="2b579a"/>
      <w:shd w:color="auto" w:fill="e6e6e6" w:val="clear"/>
    </w:rPr>
  </w:style>
  <w:style w:type="paragraph" w:styleId="Subtitle">
    <w:name w:val="Subtitle"/>
    <w:basedOn w:val="Normal"/>
    <w:next w:val="Normal"/>
    <w:pPr>
      <w:jc w:val="center"/>
    </w:pPr>
    <w:rPr>
      <w:rFonts w:ascii="PermianSlabSerifTypeface" w:cs="PermianSlabSerifTypeface" w:eastAsia="PermianSlabSerifTypeface" w:hAnsi="PermianSlabSerifTypeface"/>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vebvHgW5P5ytULH5VjEOI6yKjQ==">AMUW2mXhceQw2DTb7cB8DAb+kJFndujAckuE21JTfkLonaOeG+vXy96Bey9IulRz0jP6Ci58gMfP1Kh2bdOWrRmqxfgjM5YBWMJ5u+gxiatto/8b+QqqbRJ4OFsWKBnkywz/w30fFVZL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2023-01-05T19:25:00Z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c428e66d168a55204c8671f927fea4336c63f3a1bddae706ea600c9c19aa2546</vt:lpwstr>
  </property>
</Properties>
</file>