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AC9" w:rsidRPr="006A6F7C" w:rsidRDefault="00E2243F" w:rsidP="006A6F7C">
      <w:pPr>
        <w:pStyle w:val="Heading7"/>
        <w:jc w:val="center"/>
        <w:rPr>
          <w:sz w:val="52"/>
          <w:szCs w:val="52"/>
        </w:rPr>
      </w:pPr>
      <w:bookmarkStart w:id="0" w:name="_GoBack"/>
      <w:bookmarkEnd w:id="0"/>
      <w:r w:rsidRPr="006A6F7C">
        <w:rPr>
          <w:sz w:val="52"/>
          <w:szCs w:val="52"/>
        </w:rPr>
        <w:t xml:space="preserve">Sistema Escolar del </w:t>
      </w:r>
      <w:proofErr w:type="spellStart"/>
      <w:r w:rsidRPr="006A6F7C">
        <w:rPr>
          <w:sz w:val="52"/>
          <w:szCs w:val="52"/>
        </w:rPr>
        <w:t>Condado</w:t>
      </w:r>
      <w:proofErr w:type="spellEnd"/>
      <w:r w:rsidRPr="006A6F7C">
        <w:rPr>
          <w:sz w:val="52"/>
          <w:szCs w:val="52"/>
        </w:rPr>
        <w:t xml:space="preserve"> de Dale</w:t>
      </w:r>
    </w:p>
    <w:p w:rsidR="00E2243F" w:rsidRPr="006A6F7C" w:rsidRDefault="00E2243F" w:rsidP="006A6F7C">
      <w:pPr>
        <w:pStyle w:val="Heading7"/>
        <w:jc w:val="center"/>
        <w:rPr>
          <w:sz w:val="52"/>
          <w:szCs w:val="52"/>
        </w:rPr>
      </w:pPr>
      <w:r w:rsidRPr="006A6F7C">
        <w:rPr>
          <w:sz w:val="52"/>
          <w:szCs w:val="52"/>
        </w:rPr>
        <w:t>Plan Consolidado de la LEA</w:t>
      </w:r>
    </w:p>
    <w:p w:rsidR="006A6F7C" w:rsidRDefault="006A6F7C" w:rsidP="006A6F7C">
      <w:pPr>
        <w:pStyle w:val="Heading7"/>
        <w:jc w:val="center"/>
        <w:rPr>
          <w:sz w:val="52"/>
          <w:szCs w:val="52"/>
        </w:rPr>
      </w:pPr>
      <w:r w:rsidRPr="006A6F7C">
        <w:rPr>
          <w:sz w:val="52"/>
          <w:szCs w:val="52"/>
        </w:rPr>
        <w:t>2026-2027</w:t>
      </w:r>
    </w:p>
    <w:p w:rsidR="006A6F7C" w:rsidRPr="006A6F7C" w:rsidRDefault="006A6F7C" w:rsidP="006A6F7C"/>
    <w:p w:rsidR="006A6F7C" w:rsidRDefault="004854D8" w:rsidP="006A6F7C">
      <w:pPr>
        <w:rPr>
          <w:b/>
          <w:sz w:val="24"/>
          <w:szCs w:val="24"/>
        </w:rPr>
      </w:pPr>
      <w:r>
        <w:rPr>
          <w:b/>
          <w:sz w:val="24"/>
          <w:szCs w:val="24"/>
        </w:rPr>
        <w:t>Documentación del proceso empleado en el desarrollo, aprobación y revisión regular del plan.</w:t>
      </w:r>
    </w:p>
    <w:p w:rsidR="006A6F7C" w:rsidRDefault="004854D8" w:rsidP="00A868B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Escuelas del Condado de Dale desarrollaron el plan de la LEA para el Título I a través del personal administrativo, con la participación de escuelas, comités y programas individuales.  Todas las escuelas del sistema menos una son escuelas de nivel Title I y completaron el proceso de actualización de los planes escolares con asistencia técnica de la Oficina Central de las Escuelas del Condado de Dale.  El Departamento de Educación del Estado proporcionó asistencia técnica en la redacción de los planes originales para todo el centro.  Los planes de Título I a nivel escolar sirvieron como marco para el Plan de Título I del Condado de Dale.  </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Plan LEA se desarrolló para proporcionar el marco que sirva a las necesidades de los niños de las escuelas del condado de Dale. El Plan LEA fue desarrollado por el coordinador de programas federales con la ayuda del personal administrativo escolar, los Equipos de Resolución de Problemas a nivel escolar (PST), los actores escolares y comunitarios y otros miembros del personal de la oficina central.  El plan se desarrolló a través de una serie de reuniones del personal, trabajo de comité y aportaciones individuales tras la implementación del Plan ESSA. El plan de la LEA será evaluado y revisado anualmente por el personal y los comités de la LEA para satisfacer las necesidades de las escuelas y de los estudiantes. El plan se presenta entonces al superintendente para su aprobación final. Copias del Plan Título I de la LEA están disponibles para su revisión en cada centro escolar y en la Oficina Central.</w:t>
      </w:r>
    </w:p>
    <w:p w:rsidR="004C5424" w:rsidRDefault="004C5424">
      <w:pPr>
        <w:spacing w:after="0"/>
        <w:jc w:val="both"/>
        <w:rPr>
          <w:rFonts w:ascii="Times New Roman" w:eastAsia="Times New Roman" w:hAnsi="Times New Roman" w:cs="Times New Roman"/>
          <w:sz w:val="24"/>
          <w:szCs w:val="24"/>
        </w:rPr>
      </w:pPr>
    </w:p>
    <w:p w:rsidR="006A6F7C" w:rsidRDefault="004854D8" w:rsidP="006A6F7C">
      <w:pPr>
        <w:rPr>
          <w:b/>
          <w:sz w:val="24"/>
          <w:szCs w:val="24"/>
        </w:rPr>
      </w:pPr>
      <w:r>
        <w:rPr>
          <w:b/>
          <w:sz w:val="24"/>
          <w:szCs w:val="24"/>
        </w:rPr>
        <w:t>Documentos de comunicación, agenda, actas/notas de reuniones y hojas de firma.</w:t>
      </w:r>
    </w:p>
    <w:p w:rsidR="004C5424" w:rsidRDefault="004854D8" w:rsidP="006A6F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documentos de comunicación, agendas, notas de reuniones y hojas de firma se utilizarán para proporcionar documentación del trabajo en curso relativo al desarrollo, implementación y evaluación del Plan Consolidado. </w:t>
      </w:r>
    </w:p>
    <w:p w:rsidR="004C5424" w:rsidRDefault="004C5424">
      <w:pPr>
        <w:spacing w:after="0"/>
        <w:jc w:val="both"/>
        <w:rPr>
          <w:rFonts w:ascii="Times New Roman" w:eastAsia="Times New Roman" w:hAnsi="Times New Roman" w:cs="Times New Roman"/>
          <w:sz w:val="24"/>
          <w:szCs w:val="24"/>
        </w:rPr>
      </w:pPr>
    </w:p>
    <w:p w:rsidR="006A6F7C" w:rsidRDefault="004854D8">
      <w:pPr>
        <w:rPr>
          <w:b/>
          <w:sz w:val="24"/>
          <w:szCs w:val="24"/>
        </w:rPr>
      </w:pPr>
      <w:r>
        <w:rPr>
          <w:b/>
          <w:sz w:val="24"/>
          <w:szCs w:val="24"/>
        </w:rPr>
        <w:t>Procedimientos y prácticas para difundir los resultados individuales de las evaluaciones de los estudiantes a profesores y padres.</w:t>
      </w:r>
    </w:p>
    <w:p w:rsidR="004C5424" w:rsidRDefault="004854D8">
      <w:pPr>
        <w:rPr>
          <w:b/>
          <w:sz w:val="24"/>
          <w:szCs w:val="24"/>
        </w:rPr>
      </w:pPr>
      <w:r>
        <w:rPr>
          <w:rFonts w:ascii="Times New Roman" w:eastAsia="Times New Roman" w:hAnsi="Times New Roman" w:cs="Times New Roman"/>
          <w:sz w:val="24"/>
          <w:szCs w:val="24"/>
        </w:rPr>
        <w:t xml:space="preserve">Los informes individuales de evaluación de estudiantes y de la escuela se entregan a las escuelas de forma inmediata en cuanto se reciben del SDE. Los administradores escolares reciben los informes del coordinador de pruebas del sistema.  Los administradores escolares facilitan las puntuaciones de las pruebas a los profesores individuales a través de reuniones con el </w:t>
      </w:r>
      <w:r>
        <w:rPr>
          <w:rFonts w:ascii="Times New Roman" w:eastAsia="Times New Roman" w:hAnsi="Times New Roman" w:cs="Times New Roman"/>
          <w:sz w:val="24"/>
          <w:szCs w:val="24"/>
        </w:rPr>
        <w:lastRenderedPageBreak/>
        <w:t xml:space="preserve">profesorado, reuniones de departamento o reuniones comunes de planificación para que el personal del centro pueda supervisar la evaluación y seguimiento de las calificaciones. Las escuelas envían los informes individuales a los padres junto con el primer informe de progreso o boletín de notas que se emite tras la publicación de la nota del examen.  Esto permite que los resultados de las pruebas se envíen junto con informes programados regularmente para que los padres comprendan la importancia de los resultados. Cada colegio programa actividades para que los padres expliquen cómo interpretar los resultados de la prueba.  También se utilizan reuniones individuales con los padres para difundir los resultados de su hijo.  Las escuelas del condado de Dale también utilizan SchoolCast para anunciar cuándo se enviarán los resultados de las evaluaciones a cada alumno y las escuelas individuales utilizan la aplicación Remind Me para comunicarse con los padres.  </w:t>
      </w:r>
    </w:p>
    <w:p w:rsidR="004C5424" w:rsidRDefault="004854D8">
      <w:pPr>
        <w:rPr>
          <w:b/>
          <w:sz w:val="20"/>
          <w:szCs w:val="20"/>
        </w:rPr>
      </w:pPr>
      <w:r>
        <w:rPr>
          <w:b/>
          <w:sz w:val="20"/>
          <w:szCs w:val="20"/>
        </w:rPr>
        <w:t xml:space="preserve">Sección 1112. [20 U.S.C. 6312] </w:t>
      </w:r>
    </w:p>
    <w:p w:rsidR="00A868B7" w:rsidRDefault="004854D8">
      <w:pPr>
        <w:rPr>
          <w:b/>
          <w:sz w:val="24"/>
          <w:szCs w:val="24"/>
        </w:rPr>
      </w:pPr>
      <w:r>
        <w:rPr>
          <w:b/>
          <w:sz w:val="24"/>
          <w:szCs w:val="24"/>
        </w:rPr>
        <w:t>Una agencia educativa local puede recibir una subsubvención bajo esta parte para cualquier año fiscal solo si dicha agencia tiene registrado ante la agencia educativa estatal un plan aprobado por dicha agencia educativa.</w:t>
      </w:r>
      <w:r>
        <w:rPr>
          <w:b/>
          <w:sz w:val="24"/>
          <w:szCs w:val="24"/>
        </w:rPr>
        <w:tab/>
      </w:r>
    </w:p>
    <w:p w:rsidR="00A868B7" w:rsidRDefault="00A868B7" w:rsidP="00A868B7">
      <w:pPr>
        <w:spacing w:after="0"/>
        <w:rPr>
          <w:b/>
          <w:sz w:val="24"/>
          <w:szCs w:val="24"/>
        </w:rPr>
      </w:pPr>
      <w:r>
        <w:rPr>
          <w:b/>
          <w:sz w:val="24"/>
          <w:szCs w:val="24"/>
        </w:rPr>
        <w:t>1. Sección 1112(b)(1)(A)</w:t>
      </w:r>
    </w:p>
    <w:p w:rsidR="00A868B7" w:rsidRDefault="00A868B7" w:rsidP="00A868B7">
      <w:pPr>
        <w:spacing w:after="0"/>
        <w:rPr>
          <w:b/>
          <w:sz w:val="24"/>
          <w:szCs w:val="24"/>
        </w:rPr>
      </w:pPr>
      <w:r>
        <w:rPr>
          <w:b/>
          <w:sz w:val="24"/>
          <w:szCs w:val="24"/>
        </w:rPr>
        <w:t>Describe cómo la agencia educativa local supervisará el progreso de los estudiantes en el cumplimiento de los exigentes estándares académicos estatales mediante el desarrollo e implementación de un programa de instrucción integral que satisfaga las necesidades académicas de todos los estudiantes.</w:t>
      </w:r>
    </w:p>
    <w:p w:rsidR="00A868B7" w:rsidRDefault="00A868B7" w:rsidP="00A868B7">
      <w:pPr>
        <w:spacing w:after="0"/>
        <w:jc w:val="both"/>
        <w:rPr>
          <w:rFonts w:ascii="Times New Roman" w:eastAsia="Times New Roman" w:hAnsi="Times New Roman" w:cs="Times New Roman"/>
          <w:sz w:val="20"/>
          <w:szCs w:val="20"/>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profesores del Sistema Escolar del Condado de Dale imparten los estándares exigidos por la ALSDE.  Los profesores también utilizan guías locales de ritmo para asegurar que los estándares se imparten de forma oportuna.  Estas guías son elaboradas por un comité de profesores, supervisores curriculares y asesores instruccionales para garantizar que todas las escuelas del condado avancen a un ritmo constante. Las guías de ritmo se revisan y actualizan cada año bajo la guía de líderes docentes, coordinadores curriculares y Coaches Instruccionales. Los datos de prueba se utilizan a lo largo del año para determinar la eficacia de las guías de ritmo</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profesores de K-12 supervisarán el progreso de los estudiantes utilizando datos de las evaluaciones estatales obligatorias, lo que ayudará a determinar el éxito de los estudiantes en el cumplimiento de los estándares de rendimiento académico del estado.  Estas evaluaciones también se utilizarán para proporcionar información a padres y estudiantes; ayudar en el diagnóstico, la enseñanza y la utilización de estrategias de aprendizaje adecuadas; evaluar la efectividad del programa; determinar y proporcionar desarrollo profesional; y revisar los componentes del programa si es necesario. El Sistema Escolar del Condado de Dale participa en las siguientes evaluaciones estatales para garantizar una enseñanza de alta calidad y determinar el éxito de los estudiantes en el cumplimiento de los estándares estatales de rendimiento:</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lastRenderedPageBreak/>
        <w:t>ACAP Sumativa Grados 2-8</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Alineado con los Estándares de Preparación para la Universidad y la Carrera y está directamente vinculado a los Referentes de Preparación Universitaria y Profesional del ACT, que mide el progreso de los estudiantes en Inglés, Matemáticas, Lectura y Ciencias. La sección de lectura y matemáticas de esta evaluación se impartirá en los cursos 2 a 8 este año. La sección de ciencias se impartirá a estudiantes de 4º, 6º y 8º curso. </w:t>
      </w:r>
    </w:p>
    <w:p w:rsidR="00A868B7" w:rsidRDefault="00A868B7" w:rsidP="00A868B7">
      <w:pPr>
        <w:spacing w:after="0"/>
        <w:ind w:left="720"/>
        <w:jc w:val="both"/>
        <w:rPr>
          <w:rFonts w:ascii="Times New Roman" w:eastAsia="Times New Roman" w:hAnsi="Times New Roman" w:cs="Times New Roman"/>
          <w:sz w:val="24"/>
          <w:szCs w:val="24"/>
        </w:rPr>
      </w:pPr>
    </w:p>
    <w:p w:rsidR="00A868B7" w:rsidRPr="00C80470" w:rsidRDefault="00A868B7" w:rsidP="00A868B7">
      <w:pPr>
        <w:pStyle w:val="ListParagraph"/>
        <w:numPr>
          <w:ilvl w:val="0"/>
          <w:numId w:val="33"/>
        </w:numPr>
        <w:spacing w:after="0"/>
        <w:jc w:val="both"/>
        <w:rPr>
          <w:rFonts w:ascii="Times New Roman" w:eastAsia="Times New Roman" w:hAnsi="Times New Roman" w:cs="Times New Roman"/>
          <w:i/>
          <w:sz w:val="24"/>
          <w:szCs w:val="24"/>
          <w:u w:val="single"/>
        </w:rPr>
      </w:pPr>
      <w:r w:rsidRPr="00C80470">
        <w:rPr>
          <w:rFonts w:ascii="Times New Roman" w:eastAsia="Times New Roman" w:hAnsi="Times New Roman" w:cs="Times New Roman"/>
          <w:i/>
          <w:sz w:val="24"/>
          <w:szCs w:val="24"/>
          <w:u w:val="single"/>
        </w:rPr>
        <w:t xml:space="preserve">Inventario de Aprendizaje Temprano de Alabama </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 se administrará a todos los alumnos de Infantil durante las primeras tres o cuatro semanas de clase </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ACT Plus Escritura – 11º curso</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puntuaciones de escritura de ACT Plus pueden utilizarse para la admisión a la educación superior. Todas las evaluaciones del ACT son indicadores de crecimiento o falta de crecimiento en el ámbito de la preparación universitaria y profesional. </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pStyle w:val="ListParagraph"/>
        <w:numPr>
          <w:ilvl w:val="0"/>
          <w:numId w:val="33"/>
        </w:numPr>
        <w:spacing w:after="0"/>
        <w:jc w:val="both"/>
        <w:rPr>
          <w:rFonts w:ascii="Times New Roman" w:eastAsia="Times New Roman" w:hAnsi="Times New Roman" w:cs="Times New Roman"/>
          <w:i/>
          <w:sz w:val="24"/>
          <w:szCs w:val="24"/>
          <w:u w:val="single"/>
        </w:rPr>
      </w:pPr>
      <w:r w:rsidRPr="00F62309">
        <w:rPr>
          <w:rFonts w:ascii="Times New Roman" w:eastAsia="Times New Roman" w:hAnsi="Times New Roman" w:cs="Times New Roman"/>
          <w:i/>
          <w:sz w:val="24"/>
          <w:szCs w:val="24"/>
          <w:u w:val="single"/>
        </w:rPr>
        <w:t>Pre-ACT 10º curso</w:t>
      </w:r>
    </w:p>
    <w:p w:rsidR="00A868B7" w:rsidRPr="00F62309" w:rsidRDefault="00A868B7" w:rsidP="00A868B7">
      <w:pPr>
        <w:pStyle w:val="ListParagraph"/>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Otorgado a todos los estudiantes de 10º curso como precursor del ACT </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 xml:space="preserve">Claves de trabajo ACT – 12º </w:t>
      </w:r>
      <w:proofErr w:type="spellStart"/>
      <w:r>
        <w:rPr>
          <w:rFonts w:ascii="Times New Roman" w:eastAsia="Times New Roman" w:hAnsi="Times New Roman" w:cs="Times New Roman"/>
          <w:i/>
          <w:sz w:val="24"/>
          <w:szCs w:val="24"/>
          <w:u w:val="single"/>
        </w:rPr>
        <w:t>curso</w:t>
      </w:r>
      <w:proofErr w:type="spellEnd"/>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Medidas de las habilidades laborales fundamentales necesarias para el éxito en diferentes industrias y ocupaciones. </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ACCESO para ELLs – Cursos K-12</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Administrado a cualquier estudiante identificado con dominio limitado del inglés. La evaluación WAPT se utiliza para medir la competencia en adquisición del lenguaje. Se puede administrar un </w:t>
      </w:r>
      <w:r>
        <w:rPr>
          <w:rFonts w:ascii="Times New Roman" w:eastAsia="Times New Roman" w:hAnsi="Times New Roman" w:cs="Times New Roman"/>
          <w:i/>
          <w:sz w:val="24"/>
          <w:szCs w:val="24"/>
          <w:u w:val="single"/>
        </w:rPr>
        <w:t>ACCESO alternativo para ELLs</w:t>
      </w:r>
      <w:r>
        <w:rPr>
          <w:rFonts w:ascii="Times New Roman" w:eastAsia="Times New Roman" w:hAnsi="Times New Roman" w:cs="Times New Roman"/>
          <w:sz w:val="24"/>
          <w:szCs w:val="24"/>
        </w:rPr>
        <w:t xml:space="preserve"> a estudiantes EL con discapacidades cognitivas graves que también participan en AAA para necesidades especiales. </w:t>
      </w:r>
    </w:p>
    <w:p w:rsidR="00A868B7" w:rsidRDefault="00A868B7" w:rsidP="00A868B7">
      <w:pPr>
        <w:spacing w:after="0"/>
        <w:jc w:val="both"/>
        <w:rPr>
          <w:rFonts w:ascii="Georgia" w:eastAsia="Georgia" w:hAnsi="Georgia" w:cs="Georgia"/>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Evaluación Alternativa ACAP (AAA) – 2º a 8º y 11º curso</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ACAP se administra para determinar el nivel de competencia de los estudiantes con discapacidades cognitivas graves. La lectura y las matemáticas se administrarán en los cursos 3-8 y 11. Ciencias se impartirán en 4º, 6º y 8º curso. </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numPr>
          <w:ilvl w:val="0"/>
          <w:numId w:val="8"/>
        </w:numPr>
        <w:spacing w:after="0"/>
        <w:contextualSpacing/>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NAEP - </w:t>
      </w:r>
      <w:r>
        <w:rPr>
          <w:rFonts w:ascii="Times New Roman" w:eastAsia="Times New Roman" w:hAnsi="Times New Roman" w:cs="Times New Roman"/>
          <w:sz w:val="24"/>
          <w:szCs w:val="24"/>
        </w:rPr>
        <w:t>Evaluación Nacional del Progreso Educativo si se selecciona para los cursos 4 y 8.</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evaluaciones instruccionales basadas en el aula incluyen:</w:t>
      </w:r>
    </w:p>
    <w:p w:rsidR="00A868B7" w:rsidRDefault="00A868B7" w:rsidP="00A868B7">
      <w:pPr>
        <w:spacing w:after="0" w:line="240" w:lineRule="auto"/>
        <w:jc w:val="both"/>
        <w:rPr>
          <w:rFonts w:ascii="Times New Roman" w:eastAsia="Times New Roman" w:hAnsi="Times New Roman" w:cs="Times New Roman"/>
          <w:sz w:val="24"/>
          <w:szCs w:val="24"/>
        </w:rPr>
      </w:pPr>
    </w:p>
    <w:p w:rsidR="00A868B7" w:rsidRDefault="00A868B7" w:rsidP="00A868B7">
      <w:pPr>
        <w:numPr>
          <w:ilvl w:val="0"/>
          <w:numId w:val="12"/>
        </w:numPr>
        <w:spacing w:after="0" w:line="240" w:lineRule="auto"/>
        <w:jc w:val="both"/>
        <w:rPr>
          <w:sz w:val="24"/>
          <w:szCs w:val="24"/>
        </w:rPr>
      </w:pPr>
      <w:r>
        <w:rPr>
          <w:rFonts w:ascii="Times New Roman" w:eastAsia="Times New Roman" w:hAnsi="Times New Roman" w:cs="Times New Roman"/>
          <w:sz w:val="24"/>
          <w:szCs w:val="24"/>
        </w:rPr>
        <w:t>Programa de Lectura Acelerada</w:t>
      </w:r>
    </w:p>
    <w:p w:rsidR="00A868B7" w:rsidRDefault="00A868B7" w:rsidP="00A868B7">
      <w:pPr>
        <w:numPr>
          <w:ilvl w:val="0"/>
          <w:numId w:val="12"/>
        </w:numPr>
        <w:spacing w:after="0" w:line="240" w:lineRule="auto"/>
        <w:jc w:val="both"/>
        <w:rPr>
          <w:sz w:val="24"/>
          <w:szCs w:val="24"/>
        </w:rPr>
      </w:pPr>
      <w:r>
        <w:rPr>
          <w:rFonts w:ascii="Times New Roman" w:eastAsia="Times New Roman" w:hAnsi="Times New Roman" w:cs="Times New Roman"/>
          <w:sz w:val="24"/>
          <w:szCs w:val="24"/>
        </w:rPr>
        <w:t>Sincronización de la pista abierta/estudio de McGraw Hill</w:t>
      </w:r>
    </w:p>
    <w:p w:rsidR="00A868B7" w:rsidRPr="00C2287E" w:rsidRDefault="00A868B7" w:rsidP="00A868B7">
      <w:pPr>
        <w:numPr>
          <w:ilvl w:val="0"/>
          <w:numId w:val="12"/>
        </w:numPr>
        <w:spacing w:after="0" w:line="240" w:lineRule="auto"/>
        <w:jc w:val="both"/>
        <w:rPr>
          <w:sz w:val="24"/>
          <w:szCs w:val="24"/>
        </w:rPr>
      </w:pPr>
      <w:r>
        <w:rPr>
          <w:rFonts w:ascii="Times New Roman" w:eastAsia="Times New Roman" w:hAnsi="Times New Roman" w:cs="Times New Roman"/>
          <w:sz w:val="24"/>
          <w:szCs w:val="24"/>
        </w:rPr>
        <w:t>Serie Envision Math</w:t>
      </w:r>
    </w:p>
    <w:p w:rsidR="00A868B7" w:rsidRDefault="00A868B7" w:rsidP="00A868B7">
      <w:pPr>
        <w:numPr>
          <w:ilvl w:val="0"/>
          <w:numId w:val="12"/>
        </w:numPr>
        <w:spacing w:after="0" w:line="240" w:lineRule="auto"/>
        <w:jc w:val="both"/>
        <w:rPr>
          <w:sz w:val="24"/>
          <w:szCs w:val="24"/>
        </w:rPr>
      </w:pPr>
      <w:r>
        <w:rPr>
          <w:rFonts w:ascii="Times New Roman" w:eastAsia="Times New Roman" w:hAnsi="Times New Roman" w:cs="Times New Roman"/>
          <w:sz w:val="24"/>
          <w:szCs w:val="24"/>
        </w:rPr>
        <w:lastRenderedPageBreak/>
        <w:t>Herramientas de Seguimiento del Progreso</w:t>
      </w:r>
    </w:p>
    <w:p w:rsidR="00A868B7" w:rsidRPr="00442572" w:rsidRDefault="00A868B7" w:rsidP="00A868B7">
      <w:pPr>
        <w:numPr>
          <w:ilvl w:val="1"/>
          <w:numId w:val="12"/>
        </w:numPr>
        <w:spacing w:after="0" w:line="240" w:lineRule="auto"/>
        <w:jc w:val="both"/>
        <w:rPr>
          <w:sz w:val="24"/>
          <w:szCs w:val="24"/>
        </w:rPr>
      </w:pPr>
      <w:r>
        <w:rPr>
          <w:rFonts w:ascii="Times New Roman" w:eastAsia="Times New Roman" w:hAnsi="Times New Roman" w:cs="Times New Roman"/>
          <w:sz w:val="24"/>
          <w:szCs w:val="24"/>
        </w:rPr>
        <w:t>SPIRE</w:t>
      </w:r>
    </w:p>
    <w:p w:rsidR="00A868B7" w:rsidRPr="00CF17CE" w:rsidRDefault="00A868B7" w:rsidP="00A868B7">
      <w:pPr>
        <w:numPr>
          <w:ilvl w:val="1"/>
          <w:numId w:val="12"/>
        </w:numPr>
        <w:spacing w:after="0" w:line="240" w:lineRule="auto"/>
        <w:jc w:val="both"/>
        <w:rPr>
          <w:sz w:val="24"/>
          <w:szCs w:val="24"/>
        </w:rPr>
      </w:pPr>
      <w:r>
        <w:rPr>
          <w:rFonts w:ascii="Times New Roman" w:eastAsia="Times New Roman" w:hAnsi="Times New Roman" w:cs="Times New Roman"/>
          <w:sz w:val="24"/>
          <w:szCs w:val="24"/>
        </w:rPr>
        <w:t>Recursos para los programas troncales de lectura y matemáticas</w:t>
      </w:r>
    </w:p>
    <w:p w:rsidR="00A868B7" w:rsidRPr="00442572" w:rsidRDefault="00A868B7" w:rsidP="00A868B7">
      <w:pPr>
        <w:numPr>
          <w:ilvl w:val="1"/>
          <w:numId w:val="12"/>
        </w:numPr>
        <w:spacing w:after="0" w:line="240" w:lineRule="auto"/>
        <w:jc w:val="both"/>
        <w:rPr>
          <w:sz w:val="24"/>
          <w:szCs w:val="24"/>
        </w:rPr>
      </w:pPr>
      <w:r w:rsidRPr="00442572">
        <w:rPr>
          <w:rFonts w:ascii="Times New Roman" w:eastAsia="Times New Roman" w:hAnsi="Times New Roman" w:cs="Times New Roman"/>
          <w:sz w:val="24"/>
          <w:szCs w:val="24"/>
        </w:rPr>
        <w:t>I-Ready</w:t>
      </w:r>
    </w:p>
    <w:p w:rsidR="00A868B7" w:rsidRPr="00442572" w:rsidRDefault="00A868B7" w:rsidP="00A868B7">
      <w:pPr>
        <w:numPr>
          <w:ilvl w:val="1"/>
          <w:numId w:val="12"/>
        </w:numPr>
        <w:spacing w:after="0" w:line="240" w:lineRule="auto"/>
        <w:rPr>
          <w:sz w:val="24"/>
          <w:szCs w:val="24"/>
        </w:rPr>
      </w:pPr>
      <w:r w:rsidRPr="00442572">
        <w:rPr>
          <w:sz w:val="24"/>
          <w:szCs w:val="24"/>
        </w:rPr>
        <w:t>Examen de práctica ACAP</w:t>
      </w:r>
    </w:p>
    <w:p w:rsidR="00A868B7" w:rsidRDefault="00A868B7" w:rsidP="0014428F">
      <w:pPr>
        <w:numPr>
          <w:ilvl w:val="1"/>
          <w:numId w:val="12"/>
        </w:numPr>
        <w:spacing w:after="0" w:line="240" w:lineRule="auto"/>
        <w:rPr>
          <w:sz w:val="24"/>
          <w:szCs w:val="24"/>
        </w:rPr>
      </w:pPr>
      <w:r w:rsidRPr="00A868B7">
        <w:rPr>
          <w:sz w:val="24"/>
          <w:szCs w:val="24"/>
        </w:rPr>
        <w:t xml:space="preserve">IXL </w:t>
      </w:r>
    </w:p>
    <w:p w:rsidR="00A868B7" w:rsidRPr="00A868B7" w:rsidRDefault="00A868B7" w:rsidP="0014428F">
      <w:pPr>
        <w:numPr>
          <w:ilvl w:val="1"/>
          <w:numId w:val="12"/>
        </w:numPr>
        <w:spacing w:after="0" w:line="240" w:lineRule="auto"/>
        <w:rPr>
          <w:sz w:val="24"/>
          <w:szCs w:val="24"/>
        </w:rPr>
      </w:pPr>
      <w:proofErr w:type="spellStart"/>
      <w:r w:rsidRPr="00A868B7">
        <w:rPr>
          <w:sz w:val="24"/>
          <w:szCs w:val="24"/>
        </w:rPr>
        <w:t>Edulastic</w:t>
      </w:r>
      <w:proofErr w:type="spellEnd"/>
      <w:r w:rsidRPr="00A868B7">
        <w:rPr>
          <w:sz w:val="24"/>
          <w:szCs w:val="24"/>
        </w:rPr>
        <w:br/>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se ofrecerán oportunidades de retroalimentación a estudiantes, padres y profesores para identificar las características escolares que consideren importantes y de preocupación en cada centro local.  Se tendrá en cuenta la información obtenida y se abordarán las áreas de preocupación con estudiantes, padres, profesores y administración.  El Comité ACIP tendrá su opinión sobre las evaluaciones escolares locales.</w:t>
      </w:r>
    </w:p>
    <w:p w:rsidR="00A868B7" w:rsidRDefault="00A868B7" w:rsidP="00A868B7">
      <w:pPr>
        <w:spacing w:after="0"/>
        <w:rPr>
          <w:b/>
          <w:sz w:val="20"/>
          <w:szCs w:val="20"/>
        </w:rPr>
      </w:pPr>
    </w:p>
    <w:p w:rsidR="00A868B7" w:rsidRDefault="00A868B7" w:rsidP="00A868B7">
      <w:pPr>
        <w:spacing w:after="0"/>
        <w:jc w:val="both"/>
        <w:rPr>
          <w:b/>
          <w:sz w:val="24"/>
          <w:szCs w:val="24"/>
        </w:rPr>
      </w:pPr>
      <w:r>
        <w:rPr>
          <w:b/>
          <w:sz w:val="24"/>
          <w:szCs w:val="24"/>
        </w:rPr>
        <w:t>2. Sección 1112(b)(1)(B)</w:t>
      </w:r>
    </w:p>
    <w:p w:rsidR="00A868B7" w:rsidRDefault="00A868B7" w:rsidP="00A868B7">
      <w:pPr>
        <w:spacing w:after="0"/>
        <w:jc w:val="both"/>
        <w:rPr>
          <w:b/>
          <w:sz w:val="24"/>
          <w:szCs w:val="24"/>
        </w:rPr>
      </w:pPr>
      <w:r>
        <w:rPr>
          <w:b/>
          <w:sz w:val="24"/>
          <w:szCs w:val="24"/>
        </w:rPr>
        <w:t>Describe cómo la agencia educativa local supervisará el progreso de los estudiantes en el cumplimiento de los exigentes estándares académicos estatales identificando a quienes puedan estar en riesgo de fracaso académico.</w:t>
      </w:r>
    </w:p>
    <w:p w:rsidR="00A868B7" w:rsidRDefault="00A868B7" w:rsidP="00A868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ofrecen servicios para TODOS los estudiantes en programas escolares, con un mayor énfasis en ayudar a los estudiantes en riesgo (migrantes, con dominio limitado del inglés, estudiantes con discapacidades, personas sin hogar, estudiantes en acogida, desatendidos/delincuentes y económicamente desfavorecidos) a alcanzar objetivos locales y estatales de alto logro.  Las medidas que se deben utilizar para alcanzar estos objetivos y realizar revisiones cuando sea apropiado son abordadas por los comités del ACIP.  </w:t>
      </w:r>
    </w:p>
    <w:p w:rsidR="00A868B7" w:rsidRDefault="00A868B7" w:rsidP="00A868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identificar a los estudiantes que pueden estar en riesgo de fracaso académico, se utilizan cribados universales a través de ACAP Summative e I-Ready en los cursos de K-12. Además, los datos estatales de evaluación se revisan antes del inicio de cada curso escolar para identificar mejor a los estudiantes necesitados. Los informes de Powerschool MIS también se utilizan para mostrar a los estudiantes que presentan factores de riesgo como baja asistencia, malas notas y excesivas derivaciones disciplinarias. Estos informes se utilizan en nuestras reuniones PST para desarrollar planes para estudiantes con dificultades junto con las reuniones de MTSS.  </w:t>
      </w:r>
    </w:p>
    <w:p w:rsidR="00A868B7" w:rsidRDefault="00A868B7" w:rsidP="00A868B7">
      <w:pPr>
        <w:spacing w:after="0"/>
        <w:jc w:val="both"/>
        <w:rPr>
          <w:rFonts w:ascii="Times New Roman" w:eastAsia="Times New Roman" w:hAnsi="Times New Roman" w:cs="Times New Roman"/>
          <w:sz w:val="24"/>
          <w:szCs w:val="24"/>
        </w:rPr>
      </w:pPr>
      <w:r w:rsidRPr="00442572">
        <w:rPr>
          <w:rFonts w:ascii="Times New Roman" w:eastAsia="Times New Roman" w:hAnsi="Times New Roman" w:cs="Times New Roman"/>
          <w:sz w:val="24"/>
          <w:szCs w:val="24"/>
        </w:rPr>
        <w:t xml:space="preserve">Aunque el ACIP de cada centro fue redactado para cumplir con los requisitos de EDE, cada uno varía en composición y estrategias para satisfacer las necesidades individuales de cada centro y de los estudiantes.  Los planes ACIP de las Escuelas del Condado de Dale son revisados y supervisados durante todo el curso escolar por el Comité ACIP de cada centro (Ariton School, G W Long Elementary School, Dale County High School, Newton Elementary School, Midland City Elementary School y South Dale Middle School).  Otras herramientas de seguimiento del </w:t>
      </w:r>
      <w:proofErr w:type="spellStart"/>
      <w:r w:rsidRPr="00442572">
        <w:rPr>
          <w:rFonts w:ascii="Times New Roman" w:eastAsia="Times New Roman" w:hAnsi="Times New Roman" w:cs="Times New Roman"/>
          <w:sz w:val="24"/>
          <w:szCs w:val="24"/>
        </w:rPr>
        <w:t>progreso</w:t>
      </w:r>
      <w:proofErr w:type="spellEnd"/>
      <w:r w:rsidRPr="00442572">
        <w:rPr>
          <w:rFonts w:ascii="Times New Roman" w:eastAsia="Times New Roman" w:hAnsi="Times New Roman" w:cs="Times New Roman"/>
          <w:sz w:val="24"/>
          <w:szCs w:val="24"/>
        </w:rPr>
        <w:t xml:space="preserve"> </w:t>
      </w:r>
      <w:proofErr w:type="spellStart"/>
      <w:r w:rsidRPr="00442572">
        <w:rPr>
          <w:rFonts w:ascii="Times New Roman" w:eastAsia="Times New Roman" w:hAnsi="Times New Roman" w:cs="Times New Roman"/>
          <w:sz w:val="24"/>
          <w:szCs w:val="24"/>
        </w:rPr>
        <w:t>incluyen</w:t>
      </w:r>
      <w:proofErr w:type="spellEnd"/>
      <w:r w:rsidRPr="00442572">
        <w:rPr>
          <w:rFonts w:ascii="Times New Roman" w:eastAsia="Times New Roman" w:hAnsi="Times New Roman" w:cs="Times New Roman"/>
          <w:sz w:val="24"/>
          <w:szCs w:val="24"/>
        </w:rPr>
        <w:t xml:space="preserve"> las </w:t>
      </w:r>
      <w:proofErr w:type="spellStart"/>
      <w:r w:rsidRPr="00442572">
        <w:rPr>
          <w:rFonts w:ascii="Times New Roman" w:eastAsia="Times New Roman" w:hAnsi="Times New Roman" w:cs="Times New Roman"/>
          <w:sz w:val="24"/>
          <w:szCs w:val="24"/>
        </w:rPr>
        <w:t>siguientes</w:t>
      </w:r>
      <w:proofErr w:type="spellEnd"/>
      <w:r w:rsidRPr="00442572">
        <w:rPr>
          <w:rFonts w:ascii="Times New Roman" w:eastAsia="Times New Roman" w:hAnsi="Times New Roman" w:cs="Times New Roman"/>
          <w:sz w:val="24"/>
          <w:szCs w:val="24"/>
        </w:rPr>
        <w:t>:</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Boletín de notas A-F (sistema y escuela)</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Tasa anual de retención</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Listas MTSS</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Asistencia media diaria</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Informes SIR</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Gastos Corrientes Promedio del Sistema por hijo en la ADA</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Elegibilidad para comidas gratuitas o reducidas del sistema</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Encuestas a los Grupos de Interés</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Informes de progreso de los estudiantes</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Tasas de graduación</w:t>
      </w:r>
    </w:p>
    <w:p w:rsidR="00A868B7" w:rsidRPr="00442572" w:rsidRDefault="00A868B7" w:rsidP="00A868B7">
      <w:pPr>
        <w:numPr>
          <w:ilvl w:val="0"/>
          <w:numId w:val="23"/>
        </w:numPr>
        <w:spacing w:after="0"/>
        <w:contextualSpacing/>
        <w:jc w:val="both"/>
        <w:rPr>
          <w:rFonts w:ascii="Times New Roman" w:eastAsia="Times New Roman" w:hAnsi="Times New Roman" w:cs="Times New Roman"/>
          <w:sz w:val="24"/>
          <w:szCs w:val="24"/>
        </w:rPr>
      </w:pPr>
      <w:r w:rsidRPr="00442572">
        <w:rPr>
          <w:rFonts w:ascii="Times New Roman" w:eastAsia="Times New Roman" w:hAnsi="Times New Roman" w:cs="Times New Roman"/>
          <w:sz w:val="24"/>
          <w:szCs w:val="24"/>
        </w:rPr>
        <w:t xml:space="preserve">I- Seguimiento del Progreso Listo </w:t>
      </w:r>
    </w:p>
    <w:p w:rsidR="00A868B7" w:rsidRDefault="00A868B7" w:rsidP="00A868B7">
      <w:pPr>
        <w:spacing w:after="0"/>
        <w:jc w:val="both"/>
        <w:rPr>
          <w:b/>
          <w:sz w:val="24"/>
          <w:szCs w:val="24"/>
        </w:rPr>
      </w:pPr>
    </w:p>
    <w:p w:rsidR="00A868B7" w:rsidRDefault="00A868B7" w:rsidP="00A868B7">
      <w:pPr>
        <w:tabs>
          <w:tab w:val="left" w:pos="5955"/>
        </w:tabs>
        <w:spacing w:after="0"/>
        <w:jc w:val="both"/>
        <w:rPr>
          <w:b/>
          <w:sz w:val="24"/>
          <w:szCs w:val="24"/>
        </w:rPr>
      </w:pPr>
      <w:r>
        <w:rPr>
          <w:b/>
          <w:sz w:val="24"/>
          <w:szCs w:val="24"/>
        </w:rPr>
        <w:t>3. Sección 1112(b)(1)(C)</w:t>
      </w:r>
      <w:r>
        <w:rPr>
          <w:b/>
          <w:sz w:val="24"/>
          <w:szCs w:val="24"/>
        </w:rPr>
        <w:tab/>
      </w:r>
    </w:p>
    <w:p w:rsidR="00A868B7" w:rsidRDefault="00A868B7" w:rsidP="00A868B7">
      <w:pPr>
        <w:spacing w:after="0"/>
        <w:jc w:val="both"/>
        <w:rPr>
          <w:b/>
          <w:sz w:val="24"/>
          <w:szCs w:val="24"/>
        </w:rPr>
      </w:pPr>
      <w:r>
        <w:rPr>
          <w:b/>
          <w:sz w:val="24"/>
          <w:szCs w:val="24"/>
        </w:rPr>
        <w:t xml:space="preserve">Describe cómo la agencia educativa local supervisará el progreso de los estudiantes en el cumplimiento de los exigentes estándares académicos estatales, proporcionando asistencia educativa adicional </w:t>
      </w:r>
      <w:proofErr w:type="gramStart"/>
      <w:r>
        <w:rPr>
          <w:b/>
          <w:sz w:val="24"/>
          <w:szCs w:val="24"/>
        </w:rPr>
        <w:t>a</w:t>
      </w:r>
      <w:proofErr w:type="gramEnd"/>
      <w:r>
        <w:rPr>
          <w:b/>
          <w:sz w:val="24"/>
          <w:szCs w:val="24"/>
        </w:rPr>
        <w:t xml:space="preserve"> estudiantes individuales que la agencia educativa local o la escuela determine que necesitan ayuda para cumplir con los exigentes estándares académicos estatales.</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escuelas del condado de Dale utilizan la información obtenida de las evaluaciones estatales, I-Ready y evaluaciones adicionales para ayudar en el diagnóstico y la enseñanza.  Se formulará un plan de acción para cada estudiante que no alcance niveles de rendimiento académico competente o avanzado.  Los resultados de todas las evaluaciones se analizan anualmente para verificar su comparabilidad. </w:t>
      </w:r>
    </w:p>
    <w:p w:rsidR="00A868B7" w:rsidRDefault="00A868B7" w:rsidP="00A868B7">
      <w:pPr>
        <w:spacing w:after="0"/>
        <w:jc w:val="both"/>
        <w:rPr>
          <w:rFonts w:ascii="Times New Roman" w:eastAsia="Times New Roman" w:hAnsi="Times New Roman" w:cs="Times New Roman"/>
          <w:b/>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los estudiantes de K-12 que se identifican con dificultades académicas en lectura y matemáticas se les proporcionan clases de intervención.  Estas clases están diseñadas para satisfacer las necesidades individuales de estos estudiantes y se ofrecen como parte del currículo diario. Los lectores con dificultades serán derivados a participar en un programa de intervención para remediar a los lectores que están sufriendo fracasos utilizando el currículo regular de lectura, que incluye la Alabama Reading Initiative.  </w:t>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estudiantes identificados que presentan dificultades académicas y/o problemas de conducta también pueden ser remitidos al Equipo de Resolución de Problemas (PST).  Se celebrarán reuniones con padres y notificaciones para los estudiantes identificados para debatir las estrategias identificadas a usar en casa y para proporcionar apoyo en el colegio.  Los estudiantes identificados con problemas graves de conducta pueden ser remitidos al Equipo de Resolución de Problemas (PST) para que el equipo considere si el estudiante necesita ser derivado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otras agencias como el Departamento de Recursos Humanos, etc.  </w:t>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868B7" w:rsidRDefault="00A868B7" w:rsidP="00A868B7">
      <w:pPr>
        <w:spacing w:after="0"/>
        <w:jc w:val="both"/>
        <w:rPr>
          <w:b/>
          <w:sz w:val="24"/>
          <w:szCs w:val="24"/>
        </w:rPr>
      </w:pPr>
    </w:p>
    <w:p w:rsidR="00A868B7" w:rsidRDefault="00A868B7" w:rsidP="00A868B7">
      <w:pPr>
        <w:spacing w:after="0"/>
        <w:jc w:val="both"/>
        <w:rPr>
          <w:b/>
          <w:sz w:val="24"/>
          <w:szCs w:val="24"/>
        </w:rPr>
      </w:pPr>
      <w:r>
        <w:rPr>
          <w:b/>
          <w:sz w:val="24"/>
          <w:szCs w:val="24"/>
        </w:rPr>
        <w:t>4. Sección 1112(b)(1)(D)</w:t>
      </w:r>
    </w:p>
    <w:p w:rsidR="00A868B7" w:rsidRDefault="00A868B7" w:rsidP="00A868B7">
      <w:pPr>
        <w:spacing w:after="0"/>
        <w:jc w:val="both"/>
        <w:rPr>
          <w:b/>
          <w:sz w:val="24"/>
          <w:szCs w:val="24"/>
        </w:rPr>
      </w:pPr>
      <w:r>
        <w:rPr>
          <w:b/>
          <w:sz w:val="24"/>
          <w:szCs w:val="24"/>
        </w:rPr>
        <w:lastRenderedPageBreak/>
        <w:t>Describe cómo la agencia educativa local supervisará el progreso de los estudiantes en el cumplimiento de los exigentes estándares académicos estatales, identificando e implementando estrategias instruccionales y de otro tipo destinadas a fortalecer los programas académicos y mejorar las condiciones escolares para el aprendizaje de los estudiantes.</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Creemos que las escuelas del condado de Dale desean y fomentan altas expectativas tanto de profesores como de alumnos. Los esfuerzos de reforma ya en marcha se ampliarán para aumentar la experiencia y lograr los cambios necesarios que nos permitan utilizar la coordinación entre programas, la integración de programas y la mejora estudiantil para alcanzar altos estándares académicos.  En respuesta a los resultados de la Evaluación Integral de Necesidades, se han identificado y acordado los siguientes objetivos por parte del profesorado, el personal y los miembros de la comunidad de padres de cada proyecto escolar. Los programas y estrategias educativas específicas se encuentran en el ACIP de cada escuela.  Estos pueden incluir:</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numPr>
          <w:ilvl w:val="0"/>
          <w:numId w:val="1"/>
        </w:numPr>
        <w:spacing w:after="0"/>
        <w:contextualSpacing/>
        <w:jc w:val="both"/>
        <w:rPr>
          <w:sz w:val="24"/>
          <w:szCs w:val="24"/>
        </w:rPr>
      </w:pPr>
      <w:r>
        <w:rPr>
          <w:rFonts w:ascii="Times New Roman" w:eastAsia="Times New Roman" w:hAnsi="Times New Roman" w:cs="Times New Roman"/>
          <w:sz w:val="24"/>
          <w:szCs w:val="24"/>
        </w:rPr>
        <w:t>I- Listo</w:t>
      </w:r>
    </w:p>
    <w:p w:rsidR="00A868B7" w:rsidRDefault="00A868B7" w:rsidP="00A868B7">
      <w:pPr>
        <w:numPr>
          <w:ilvl w:val="0"/>
          <w:numId w:val="1"/>
        </w:numPr>
        <w:spacing w:after="0"/>
        <w:contextualSpacing/>
        <w:jc w:val="both"/>
        <w:rPr>
          <w:sz w:val="24"/>
          <w:szCs w:val="24"/>
        </w:rPr>
      </w:pPr>
      <w:r>
        <w:rPr>
          <w:rFonts w:ascii="Times New Roman" w:eastAsia="Times New Roman" w:hAnsi="Times New Roman" w:cs="Times New Roman"/>
          <w:sz w:val="24"/>
          <w:szCs w:val="24"/>
        </w:rPr>
        <w:t>Iniciativa de Lectura de Alabama (ARI)</w:t>
      </w:r>
    </w:p>
    <w:p w:rsidR="00A868B7" w:rsidRDefault="00A868B7" w:rsidP="00A868B7">
      <w:pPr>
        <w:numPr>
          <w:ilvl w:val="0"/>
          <w:numId w:val="1"/>
        </w:numPr>
        <w:spacing w:after="0"/>
        <w:contextualSpacing/>
        <w:jc w:val="both"/>
        <w:rPr>
          <w:sz w:val="24"/>
          <w:szCs w:val="24"/>
        </w:rPr>
      </w:pPr>
      <w:r>
        <w:rPr>
          <w:rFonts w:ascii="Times New Roman" w:eastAsia="Times New Roman" w:hAnsi="Times New Roman" w:cs="Times New Roman"/>
          <w:sz w:val="24"/>
          <w:szCs w:val="24"/>
        </w:rPr>
        <w:t>AMSTI</w:t>
      </w:r>
    </w:p>
    <w:p w:rsidR="00A868B7" w:rsidRPr="00442572" w:rsidRDefault="00A868B7" w:rsidP="00A868B7">
      <w:pPr>
        <w:numPr>
          <w:ilvl w:val="0"/>
          <w:numId w:val="1"/>
        </w:numPr>
        <w:spacing w:after="0"/>
        <w:contextualSpacing/>
        <w:jc w:val="both"/>
        <w:rPr>
          <w:sz w:val="24"/>
          <w:szCs w:val="24"/>
        </w:rPr>
      </w:pPr>
      <w:r w:rsidRPr="00442572">
        <w:rPr>
          <w:rFonts w:ascii="Times New Roman" w:eastAsia="Times New Roman" w:hAnsi="Times New Roman" w:cs="Times New Roman"/>
          <w:sz w:val="24"/>
          <w:szCs w:val="24"/>
        </w:rPr>
        <w:t>Sincronización de la pista abierta/estudio de McGraw Hill</w:t>
      </w:r>
    </w:p>
    <w:p w:rsidR="00A868B7" w:rsidRPr="003D0E3D" w:rsidRDefault="00A868B7" w:rsidP="00A868B7">
      <w:pPr>
        <w:numPr>
          <w:ilvl w:val="0"/>
          <w:numId w:val="1"/>
        </w:numPr>
        <w:spacing w:after="0"/>
        <w:contextualSpacing/>
        <w:jc w:val="both"/>
        <w:rPr>
          <w:sz w:val="24"/>
          <w:szCs w:val="24"/>
        </w:rPr>
      </w:pPr>
      <w:proofErr w:type="spellStart"/>
      <w:r>
        <w:rPr>
          <w:rFonts w:ascii="Times New Roman" w:eastAsia="Times New Roman" w:hAnsi="Times New Roman" w:cs="Times New Roman"/>
          <w:sz w:val="24"/>
          <w:szCs w:val="24"/>
        </w:rPr>
        <w:t>Edgenuidad</w:t>
      </w:r>
      <w:proofErr w:type="spellEnd"/>
    </w:p>
    <w:p w:rsidR="00A868B7" w:rsidRPr="00861923" w:rsidRDefault="00A868B7" w:rsidP="00A868B7">
      <w:pPr>
        <w:numPr>
          <w:ilvl w:val="0"/>
          <w:numId w:val="1"/>
        </w:numPr>
        <w:spacing w:after="0"/>
        <w:contextualSpacing/>
        <w:jc w:val="both"/>
        <w:rPr>
          <w:sz w:val="24"/>
          <w:szCs w:val="24"/>
        </w:rPr>
      </w:pPr>
      <w:r>
        <w:rPr>
          <w:rFonts w:ascii="Times New Roman" w:eastAsia="Times New Roman" w:hAnsi="Times New Roman" w:cs="Times New Roman"/>
          <w:sz w:val="24"/>
          <w:szCs w:val="24"/>
        </w:rPr>
        <w:t>Sin tinta roja</w:t>
      </w:r>
    </w:p>
    <w:p w:rsidR="00A868B7" w:rsidRPr="004E6D0C" w:rsidRDefault="00A868B7" w:rsidP="00A868B7">
      <w:pPr>
        <w:numPr>
          <w:ilvl w:val="0"/>
          <w:numId w:val="1"/>
        </w:numPr>
        <w:spacing w:after="0"/>
        <w:contextualSpacing/>
        <w:jc w:val="both"/>
        <w:rPr>
          <w:sz w:val="24"/>
          <w:szCs w:val="24"/>
        </w:rPr>
      </w:pPr>
      <w:proofErr w:type="spellStart"/>
      <w:r>
        <w:rPr>
          <w:sz w:val="24"/>
          <w:szCs w:val="24"/>
        </w:rPr>
        <w:t>Formación</w:t>
      </w:r>
      <w:proofErr w:type="spellEnd"/>
      <w:r>
        <w:rPr>
          <w:sz w:val="24"/>
          <w:szCs w:val="24"/>
        </w:rPr>
        <w:t xml:space="preserve"> de Orton </w:t>
      </w:r>
      <w:proofErr w:type="spellStart"/>
      <w:r>
        <w:rPr>
          <w:sz w:val="24"/>
          <w:szCs w:val="24"/>
        </w:rPr>
        <w:t>Gillingham</w:t>
      </w:r>
      <w:proofErr w:type="spellEnd"/>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comité de cada centro continuará reuniéndose con el Coordinador de Programas Federales del sistema para planificar e implementar los presupuestos y directrices locales, estatales y federales.  Otros coordinadores/administradores del sistema también continuarán trabajando estrechamente con los centros para garantizar la coordinación entre programas y atender las necesidades a nivel del sistema de TODOS los estudiantes (migrantes, con poca competencia en inglés, estudiantes con discapacidades, personas sin hogar, desatendidos/delincuentes, administradores de acogida y económicamente desfavorecidos) para cumplir con los niveles estatales de rendimiento académico avanzado y competente según los estándares estatales de contenido.  Aunque la mayoría de las necesidades, objetivos y actividades están planificados tanto para profesores como para estudiantes en las escuelas locales, otras se abordan a nivel del sistema.</w:t>
      </w:r>
    </w:p>
    <w:p w:rsidR="00A868B7" w:rsidRDefault="00A868B7" w:rsidP="00A868B7">
      <w:pPr>
        <w:spacing w:after="0"/>
        <w:ind w:firstLine="72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Sistema Escolar del Condado de Dale, a través de nuestros compromisos y con la ayuda de los comités, garantiza que se tomen medidas para proporcionar una participación equitativa a todos los estudiantes, personal y programas que operan bajo este plan consolidado.  Además, todos los estudiantes tendrán la oportunidad de alcanzar altos estándares académicos.  </w:t>
      </w:r>
    </w:p>
    <w:p w:rsidR="004C5424" w:rsidRDefault="004C5424">
      <w:pPr>
        <w:rPr>
          <w:b/>
          <w:sz w:val="24"/>
          <w:szCs w:val="24"/>
        </w:rPr>
      </w:pPr>
    </w:p>
    <w:p w:rsidR="004C5424" w:rsidRDefault="004C5424">
      <w:pPr>
        <w:spacing w:after="0" w:line="240" w:lineRule="auto"/>
        <w:rPr>
          <w:b/>
          <w:sz w:val="24"/>
          <w:szCs w:val="24"/>
        </w:rPr>
      </w:pPr>
    </w:p>
    <w:p w:rsidR="004C5424" w:rsidRDefault="004854D8">
      <w:pPr>
        <w:spacing w:after="0"/>
        <w:jc w:val="both"/>
        <w:rPr>
          <w:b/>
          <w:sz w:val="24"/>
          <w:szCs w:val="24"/>
        </w:rPr>
      </w:pPr>
      <w:r>
        <w:rPr>
          <w:b/>
          <w:sz w:val="24"/>
          <w:szCs w:val="24"/>
        </w:rPr>
        <w:t>5. Sección 1112(b)(2)</w:t>
      </w:r>
    </w:p>
    <w:p w:rsidR="004C5424" w:rsidRDefault="004854D8">
      <w:pPr>
        <w:spacing w:after="0"/>
        <w:jc w:val="both"/>
        <w:rPr>
          <w:b/>
          <w:sz w:val="24"/>
          <w:szCs w:val="24"/>
        </w:rPr>
      </w:pPr>
      <w:r>
        <w:rPr>
          <w:b/>
          <w:sz w:val="24"/>
          <w:szCs w:val="24"/>
        </w:rPr>
        <w:lastRenderedPageBreak/>
        <w:t>Describe cómo la agencia educativa local identificará y abordará, según lo exigido en los planes estatales descritos en la sección 1111(g)(1)(B), cualquier disparidad que provoque que estudiantes de bajos ingresos y estudiantes de minorías reciban clases a tasas más altas que otros estudiantes por profesores ineficaces, inexpertos o fuera del campo.</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revisarán los datos de evaluación de los estudiantes para identificar cualquier brecha en el rendimiento estudiantil entre estudiantes de bajos ingresos y minorías. Se rastrearán las lagunas identificadas para ver si los estudiantes son enseñados por profesores ineficaces o inexpertos. Los datos de los profesores serán revisados por Educate Alabama y el Plan de Eficacia para Educadores del distrito, y se animará encarecidamente a los directores a colocar a sus profesores más eficaces en los grupos estudiantiles con peor rendimiento. Se ofrecerán oportunidades de desarrollo profesional para fortalecer las habilidades y mejorar el conocimiento de todos los profesores.</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C5424" w:rsidRDefault="004E6D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escuelas del condado de Dale se esfuerzan diligentemente por contratar únicamente a profesores certificados en el área de contenido a la que se les asignará. Además, durante el curso escolar, nuestro sistema revisa y certifica el informe LEAPS trimestral para garantizar que todos los profesores estén cualificados, impartan clases en el campo y cumplan con los requisitos de certificación del estado de Alabama.  Si un profesor no está debidamente certificado para impartir la(s) materia(s) y curso(s) asignado(s), el plan individual del profesor debe estar registrado para obtener la certificación estatal. </w:t>
      </w:r>
    </w:p>
    <w:p w:rsidR="004C5424" w:rsidRDefault="004C5424">
      <w:pPr>
        <w:spacing w:after="0"/>
        <w:jc w:val="both"/>
        <w:rPr>
          <w:rFonts w:ascii="Times New Roman" w:eastAsia="Times New Roman" w:hAnsi="Times New Roman" w:cs="Times New Roman"/>
          <w:sz w:val="24"/>
          <w:szCs w:val="24"/>
        </w:rPr>
      </w:pPr>
    </w:p>
    <w:p w:rsidR="00000262" w:rsidRDefault="00000262">
      <w:pPr>
        <w:spacing w:after="0"/>
        <w:jc w:val="both"/>
        <w:rPr>
          <w:rFonts w:ascii="Segoe UI" w:hAnsi="Segoe UI" w:cs="Segoe UI"/>
          <w:b/>
          <w:bCs/>
          <w:sz w:val="20"/>
          <w:szCs w:val="20"/>
          <w:shd w:val="clear" w:color="auto" w:fill="E1E7EF"/>
        </w:rPr>
      </w:pPr>
      <w:r>
        <w:rPr>
          <w:rFonts w:ascii="Segoe UI" w:hAnsi="Segoe UI" w:cs="Segoe UI"/>
          <w:b/>
          <w:bCs/>
          <w:sz w:val="20"/>
          <w:szCs w:val="20"/>
          <w:shd w:val="clear" w:color="auto" w:fill="E1E7EF"/>
        </w:rPr>
        <w:t>6. Sección 1112(b)(3)</w:t>
      </w:r>
    </w:p>
    <w:p w:rsidR="00000262" w:rsidRDefault="00000262">
      <w:pPr>
        <w:spacing w:after="0"/>
        <w:jc w:val="both"/>
        <w:rPr>
          <w:rFonts w:ascii="Segoe UI" w:hAnsi="Segoe UI" w:cs="Segoe UI"/>
          <w:b/>
          <w:sz w:val="20"/>
          <w:szCs w:val="20"/>
          <w:shd w:val="clear" w:color="auto" w:fill="ECEFF6"/>
        </w:rPr>
      </w:pPr>
      <w:r w:rsidRPr="00000262">
        <w:rPr>
          <w:rFonts w:ascii="Segoe UI" w:hAnsi="Segoe UI" w:cs="Segoe UI"/>
          <w:b/>
          <w:sz w:val="20"/>
          <w:szCs w:val="20"/>
          <w:shd w:val="clear" w:color="auto" w:fill="ECEFF6"/>
        </w:rPr>
        <w:t>Describe cómo la agencia educativa local llevará a cabo sus responsabilidades bajo la sección 1111(d)(1) respecto a las escuelas de Apoyo y Mejora Integral (CSI). La agencia educativa local debe incluir cómo desarrollará e implementará un plan CSI en colaboración con las partes interesadas que tenga en cuenta los indicadores de rendición de cuentas, incluya intervenciones basadas en la evidencia, se base en una evaluación de necesidades a nivel escolar, identifique disparidades de recursos y sea aprobado por la escuela y la agencia educativa local.</w:t>
      </w:r>
    </w:p>
    <w:p w:rsidR="00AF205E" w:rsidRDefault="00AF205E">
      <w:pPr>
        <w:spacing w:after="0"/>
        <w:jc w:val="both"/>
        <w:rPr>
          <w:rFonts w:ascii="Segoe UI" w:hAnsi="Segoe UI" w:cs="Segoe UI"/>
          <w:b/>
          <w:sz w:val="20"/>
          <w:szCs w:val="20"/>
          <w:shd w:val="clear" w:color="auto" w:fill="ECEFF6"/>
        </w:rPr>
      </w:pPr>
    </w:p>
    <w:p w:rsidR="00000262" w:rsidRPr="00000262" w:rsidRDefault="00000262">
      <w:pPr>
        <w:spacing w:after="0"/>
        <w:jc w:val="both"/>
        <w:rPr>
          <w:b/>
          <w:sz w:val="24"/>
          <w:szCs w:val="24"/>
        </w:rPr>
      </w:pP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Comité Asesor de Programas Federales y el Comité de Planificación de Mejora Continua de ASSIST (ACIP) participan en el desarrollo, revisión y revisión de políticas y planes como el Plan Consolidado del Condado de Dale, que incluye todas las normativas locales, estatales y federales.  Los comités se reúnen según sea necesario para revisar la información pertinente sobre el Programa de Apoyo Integral Título I y su relación directa con otros programas de instrucción del Sistema Escolar del Condado de Dale, para ayudar a los estudiantes a alcanzar altos estándares estatales de rendimiento y contenido.  </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comités están formados por representantes de todos los grupos de circunscripción, incluyendo personal supervisor de la oficina central, administradores, profesores, padres y partes interesadas de la comunidad.  Los miembros son responsables de cualquier toma de decisiones (de programa </w:t>
      </w:r>
      <w:r>
        <w:rPr>
          <w:rFonts w:ascii="Times New Roman" w:eastAsia="Times New Roman" w:hAnsi="Times New Roman" w:cs="Times New Roman"/>
          <w:sz w:val="24"/>
          <w:szCs w:val="24"/>
        </w:rPr>
        <w:lastRenderedPageBreak/>
        <w:t>o financiera) respecto al Plan Consolidado y de la distribución de cualquier información necesaria a sus grupos de interés.  Se busca activamente la participación de padres y miembros de la comunidad para asegurar que se identifiquen las necesidades de los estudiantes y que se utilicen todos los recursos comunitarios disponibles.  Los representantes del comité son seleccionados por su dedicación e interés en el éxito de nuestros estudiantes y escuelas.</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Cuando hay padres con un dominio limitado del inglés, la comunicación escrita puede traducirse al idioma nativo necesario cuando sea posible usando Google Translate o un traductor. Un componente importante del proceso de planificación es identificar las necesidades de un alumnado diverso y realizar adaptaciones razonables para atender las necesidades de estudiantes sin hogar, estudiantes en acogida, estudiantes minoritarios, económicamente desfavorecidos, estudiantes con necesidades especiales, estudiantes con dominio limitado del inglés y estudiantes descuidados y delincuentes, para alcanzar los niveles estatales de rendimiento académico avanzado y competente según los estándares estatales de contenido.</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Plan Consolidado se revisa y supervisa a lo largo del curso escolar.  La implementación del plan se revisa periódicamente en las reuniones de los comités.  Estos comités serán responsables de revisar los datos incluidos en el plan para determinar un aumento objetivo en el rendimiento académico y otros indicadores de éxito.  Los objetivos y el progreso se comunican al profesorado, padres, estudiantes y partes interesadas a través de Reuniones Anuales de Participación Parental, Reuniones de Padres Remunerados, Reuniones Asesoras de Padres, medios electrónicos y boletines, para que exista un compromiso compartido con una educación de calidad para todos los estudiantes del condado de Dale.</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Plan Consolidado está publicado en la página web del Sistema Escolar del Condado de Dale y copias del plan se encontrarán en la oficina del Coordinador de Programas Federales, la oficina del director y el centro de medios de cada escuela. Se notificará de varias formas (página web del colegio, página web del sistema, folletos escolares, etc.) de que este plan estará disponible para su revisión.   Si un padre no está de acuerdo con algún aspecto o componente del Plan Consolidado del Condado de Dale, puede contactar con el Coordinador de Programas Federales del sistema escolar en la Oficina Central.  Sus preocupaciones por escrito, si no se resuelven a nivel local, serán remitidas al Coordinador de Programas Federales del Departamento de Educación del Estado (SDE).</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Sistema Escolar del Condado de Dale está involucrado en un proceso continuo para proporcionar una coordinación más fuerte de todos los programas y así apoyar mejor las necesidades y esfuerzos de las estrategias de mejora a nivel escolar.  La Junta de Educación, el superintendente, los administradores y los miembros del comité coinciden en que cada Escuela Título I es una unidad para el cambio y la mejora escolar.   </w:t>
      </w:r>
    </w:p>
    <w:p w:rsidR="004C5424" w:rsidRDefault="004E6D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Seis de las siete escuelas del condado de Dale se consideran escuelas Title I para todo el colegio basándose en el recuento gratuito o reducido de los 20 días posteriores al Día del Trabajo.  Los fondos se distribuyen a las escuelas en función del recuento de pobreza.  Tras completar una </w:t>
      </w:r>
      <w:r>
        <w:rPr>
          <w:rFonts w:ascii="Times New Roman" w:eastAsia="Times New Roman" w:hAnsi="Times New Roman" w:cs="Times New Roman"/>
          <w:sz w:val="24"/>
          <w:szCs w:val="24"/>
        </w:rPr>
        <w:lastRenderedPageBreak/>
        <w:t>evaluación de necesidades, cada centro realiza un Plan de Mejora Continua (CIP) para atender las necesidades de cada escuela. Cada centro ofrece programas y servicios a los estudiantes y familias a los que sirven.  Los servicios incluyen instrucción académica y remediación, servicios sociales, servicios de salud, participación de los padres, Alabama Reading Initiative, Alabama Math, Science and Technology Initiative, programas extraescolares y tutorías. Nuestro objetivo principal es mejorar todo el programa educativo de todas las escuelas. Esto se logra mediante la coordinación de programas con los esfuerzos locales y estatales de mejora educativa.  Las escuelas se centran en la implementación de estrategias educativas que aumentan la cantidad y calidad del tiempo de aprendizaje y ayudan a ofrecer un currículo de alta calidad para que todos los niños cumplan con los exigentes estándares del Estado. El desarrollo profesional apoyado en los programas escolares es presencial e integrado en el trabajo. Los planes se actualizan y revisan en función de los datos de rendimiento estudiantil y evaluaciones de necesidades. La implicación de la comunidad y el personal de cada centro en la planificación e implementación de iniciativas de mejora es fundamental para el éxito de todos los programas, y cada centro tiene la capacidad profesional para tomar decisiones que afecten a la calidad educativa en cada centro local.</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Sistema Escolar del Condado de Dale está comprometido con mejorar la enseñanza y el aprendizaje mediante una mayor coordinación, planificación y prestación de servicios entre programas en programas federales, servicios de educación especial, educación comunitaria y programas de participación de los padres, así como el desarrollo profesional.  Estos programas federales incluyen:</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Título I, Parte A: Mejorar el rendimiento académico de los desfavorecidos</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Título I, Parte D: Descuidado y Delincuente</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Título II: Preparación, formación y reclutamiento de profesores y directores de alta calidad</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Título III: Estudiantes de inglés (ELL)</w:t>
      </w:r>
    </w:p>
    <w:p w:rsidR="003D0E3D" w:rsidRDefault="003D0E3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Título IV: Apoyo al estudiante y enriquecimiento académico</w:t>
      </w:r>
    </w:p>
    <w:p w:rsidR="004C5424" w:rsidRDefault="004C5424">
      <w:pPr>
        <w:spacing w:after="0"/>
        <w:jc w:val="both"/>
        <w:rPr>
          <w:rFonts w:ascii="Times New Roman" w:eastAsia="Times New Roman" w:hAnsi="Times New Roman" w:cs="Times New Roman"/>
          <w:sz w:val="24"/>
          <w:szCs w:val="24"/>
        </w:rPr>
      </w:pPr>
    </w:p>
    <w:p w:rsidR="0027535D" w:rsidRDefault="0027535D">
      <w:pPr>
        <w:spacing w:after="0"/>
        <w:jc w:val="both"/>
        <w:rPr>
          <w:rFonts w:ascii="Times New Roman" w:eastAsia="Times New Roman" w:hAnsi="Times New Roman" w:cs="Times New Roman"/>
          <w:sz w:val="24"/>
          <w:szCs w:val="24"/>
        </w:rPr>
      </w:pPr>
    </w:p>
    <w:p w:rsidR="0027535D" w:rsidRDefault="0027535D">
      <w:pPr>
        <w:spacing w:after="0"/>
        <w:jc w:val="both"/>
        <w:rPr>
          <w:rFonts w:ascii="Segoe UI" w:hAnsi="Segoe UI" w:cs="Segoe UI"/>
          <w:b/>
          <w:bCs/>
          <w:sz w:val="20"/>
          <w:szCs w:val="20"/>
          <w:shd w:val="clear" w:color="auto" w:fill="ECEFF6"/>
        </w:rPr>
      </w:pPr>
      <w:r>
        <w:rPr>
          <w:rFonts w:ascii="Segoe UI" w:hAnsi="Segoe UI" w:cs="Segoe UI"/>
          <w:b/>
          <w:bCs/>
          <w:sz w:val="20"/>
          <w:szCs w:val="20"/>
          <w:shd w:val="clear" w:color="auto" w:fill="ECEFF6"/>
        </w:rPr>
        <w:t>7. Sección 1112(b)(3)</w:t>
      </w:r>
    </w:p>
    <w:p w:rsidR="00CF0B00" w:rsidRDefault="0027535D">
      <w:pPr>
        <w:spacing w:after="0"/>
        <w:jc w:val="both"/>
        <w:rPr>
          <w:rFonts w:ascii="Segoe UI" w:hAnsi="Segoe UI" w:cs="Segoe UI"/>
          <w:b/>
          <w:sz w:val="20"/>
          <w:szCs w:val="20"/>
          <w:shd w:val="clear" w:color="auto" w:fill="ECEFF6"/>
        </w:rPr>
      </w:pPr>
      <w:r w:rsidRPr="0027535D">
        <w:rPr>
          <w:rFonts w:ascii="Segoe UI" w:hAnsi="Segoe UI" w:cs="Segoe UI"/>
          <w:b/>
          <w:sz w:val="20"/>
          <w:szCs w:val="20"/>
          <w:shd w:val="clear" w:color="auto" w:fill="ECEFF6"/>
        </w:rPr>
        <w:t>Si la agencia educativa local proporciona la elección de escuela pública según lo descrito en 1111(d)(1)(D) a los estudiantes matriculados en una escuela identificada como Apoyo y Mejora Integral (CSI), describa cómo la agencia educativa local da prioridad a los niños con peor rendimiento, cómo la agencia educativa local garantiza que un estudiante que utilice la opción de traslado esté matriculado en clases y otras actividades en la escuela pública a la que se transfiera en la De la misma manera que todos los demás estudiantes en la escuela pública, y cómo la agencia educativa local permite que un estudiante que se transfiere a otra escuela pública permanezca en ese centro hasta que haya completado la calificación más alta en ese centro.</w:t>
      </w:r>
    </w:p>
    <w:p w:rsidR="00CF0B00" w:rsidRDefault="00CF0B00">
      <w:pPr>
        <w:spacing w:after="0"/>
        <w:jc w:val="both"/>
        <w:rPr>
          <w:rFonts w:ascii="Segoe UI" w:hAnsi="Segoe UI" w:cs="Segoe UI"/>
          <w:b/>
          <w:sz w:val="20"/>
          <w:szCs w:val="20"/>
          <w:shd w:val="clear" w:color="auto" w:fill="ECEFF6"/>
        </w:rPr>
      </w:pPr>
    </w:p>
    <w:p w:rsidR="0027535D" w:rsidRPr="00CF0B00" w:rsidRDefault="00CF0B00">
      <w:pPr>
        <w:spacing w:after="0"/>
        <w:jc w:val="both"/>
        <w:rPr>
          <w:rFonts w:ascii="Times New Roman" w:eastAsia="Times New Roman" w:hAnsi="Times New Roman" w:cs="Times New Roman"/>
          <w:sz w:val="24"/>
          <w:szCs w:val="24"/>
        </w:rPr>
      </w:pPr>
      <w:r w:rsidRPr="00CF0B00">
        <w:rPr>
          <w:rFonts w:ascii="Times New Roman" w:eastAsia="Times New Roman" w:hAnsi="Times New Roman" w:cs="Times New Roman"/>
          <w:sz w:val="24"/>
          <w:szCs w:val="24"/>
        </w:rPr>
        <w:t xml:space="preserve">Actualmente solo tenemos un colegio CSI (South Dale) dentro del distrito.  Seis de nuestras siete escuelas son título I y sirvieron de manera general.  Todos los estudiantes son atendidos y los fondos se asignan de manera adecuada, atendiendo primero a las escuelas de mayor pobreza hasta el rango y el orden.  La elección escolar se sigue según la población actual en nuestras escuelas.  </w:t>
      </w:r>
      <w:r w:rsidRPr="00CF0B00">
        <w:rPr>
          <w:rFonts w:ascii="Times New Roman" w:eastAsia="Times New Roman" w:hAnsi="Times New Roman" w:cs="Times New Roman"/>
          <w:sz w:val="24"/>
          <w:szCs w:val="24"/>
        </w:rPr>
        <w:lastRenderedPageBreak/>
        <w:t xml:space="preserve">Todos los colegios del condado de Dale están llenos en este momento, y hay que dar prioridad a los estudiantes que actualmente se encuentren dentro de los límites de nuestro distrito.  Cuando el espacio lo permita, permitiremos la elección escolar y cualquier estudiante que entre en nuestro sistema recibirá todos los beneficios y apoyos de los estudiantes actuales.  </w:t>
      </w:r>
    </w:p>
    <w:p w:rsidR="0027535D" w:rsidRDefault="0027535D">
      <w:pPr>
        <w:spacing w:after="0"/>
        <w:jc w:val="both"/>
        <w:rPr>
          <w:rFonts w:ascii="Times New Roman" w:eastAsia="Times New Roman" w:hAnsi="Times New Roman" w:cs="Times New Roman"/>
          <w:b/>
          <w:sz w:val="24"/>
          <w:szCs w:val="24"/>
        </w:rPr>
      </w:pPr>
    </w:p>
    <w:p w:rsidR="0027535D" w:rsidRPr="0027535D" w:rsidRDefault="0027535D">
      <w:pPr>
        <w:spacing w:after="0"/>
        <w:jc w:val="both"/>
        <w:rPr>
          <w:rFonts w:ascii="Times New Roman" w:eastAsia="Times New Roman" w:hAnsi="Times New Roman" w:cs="Times New Roman"/>
          <w:b/>
          <w:sz w:val="24"/>
          <w:szCs w:val="24"/>
        </w:rPr>
      </w:pPr>
    </w:p>
    <w:p w:rsidR="0027535D" w:rsidRDefault="0027535D">
      <w:pPr>
        <w:spacing w:after="0"/>
        <w:jc w:val="both"/>
        <w:rPr>
          <w:rFonts w:ascii="Times New Roman" w:eastAsia="Times New Roman" w:hAnsi="Times New Roman" w:cs="Times New Roman"/>
          <w:sz w:val="24"/>
          <w:szCs w:val="24"/>
        </w:rPr>
      </w:pPr>
    </w:p>
    <w:p w:rsidR="0027535D" w:rsidRDefault="0027535D">
      <w:pPr>
        <w:spacing w:after="0"/>
        <w:jc w:val="both"/>
        <w:rPr>
          <w:rFonts w:ascii="Segoe UI" w:hAnsi="Segoe UI" w:cs="Segoe UI"/>
          <w:b/>
          <w:bCs/>
          <w:sz w:val="20"/>
          <w:szCs w:val="20"/>
          <w:shd w:val="clear" w:color="auto" w:fill="E1E7EF"/>
        </w:rPr>
      </w:pPr>
      <w:r>
        <w:rPr>
          <w:rFonts w:ascii="Segoe UI" w:hAnsi="Segoe UI" w:cs="Segoe UI"/>
          <w:b/>
          <w:bCs/>
          <w:sz w:val="20"/>
          <w:szCs w:val="20"/>
          <w:shd w:val="clear" w:color="auto" w:fill="E1E7EF"/>
        </w:rPr>
        <w:t>8. Sección 1112(b)(3)</w:t>
      </w:r>
    </w:p>
    <w:p w:rsidR="0027535D" w:rsidRPr="0027535D" w:rsidRDefault="0027535D">
      <w:pPr>
        <w:spacing w:after="0"/>
        <w:jc w:val="both"/>
        <w:rPr>
          <w:rFonts w:ascii="Times New Roman" w:eastAsia="Times New Roman" w:hAnsi="Times New Roman" w:cs="Times New Roman"/>
          <w:b/>
          <w:sz w:val="24"/>
          <w:szCs w:val="24"/>
        </w:rPr>
      </w:pPr>
      <w:r w:rsidRPr="0027535D">
        <w:rPr>
          <w:rFonts w:ascii="Segoe UI" w:hAnsi="Segoe UI" w:cs="Segoe UI"/>
          <w:b/>
          <w:sz w:val="20"/>
          <w:szCs w:val="20"/>
          <w:shd w:val="clear" w:color="auto" w:fill="ECEFF6"/>
        </w:rPr>
        <w:t>Describe cómo la agencia educativa local llevará a cabo sus responsabilidades bajo la 1111(d)(2) respecto a las escuelas de Apoyo y Mejora Dirigida (TSI) y a las escuelas de Apoyo y Mejora Adicional Dirigida (ATSI) (si procede). La agencia educativa local debe incluir cómo apoyará a una escuela en el desarrollo de un plan de mejora en colaboración con las partes interesadas, que tenga en cuenta los indicadores de rendición de cuentas de cada subgrupo de estudiantes para el que esté identificada e incluya intervenciones basadas en la evidencia. La agencia educativa local debe incluir cómo aprobará el plan y supervisará su implementación, incluyendo cómo la agencia educativa local tomará medidas adicionales tras la implementación fallida del plan tras varios años determinados por la agencia educativa local.</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ninguna escuela del Sistema Escolar del Condado de Dale opera bajo un Programa de Asistencia Dirigida.  El Sistema Escolar del Condado de Dale identificará a los estudiantes que experimentan dificultades académicas y proporcionará asistencia instruccional oportuna para ayudar a estos estudiantes en la escuela para la que se cumplen los criterios de elegibilidad. El programa incluirá programas educativos para personas desfavorecidas, con discapacidad, superdotadas y con un dominio limitado del inglés.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último, el Sistema Escolar del Condado de Dale está comprometido a formar ciudadanos responsables y productivos, preparados para la universidad y el empleo, proporcionando una educación de calidad a todos los estudiantes en un entorno seguro.  Esto se logrará mediante un currículo integral, adecuado para su desarrollo y exigente, impartido por un equipo certificado.</w:t>
      </w:r>
    </w:p>
    <w:p w:rsidR="004C5424" w:rsidRDefault="004C5424">
      <w:pPr>
        <w:jc w:val="both"/>
        <w:rPr>
          <w:rFonts w:ascii="Times New Roman" w:eastAsia="Times New Roman" w:hAnsi="Times New Roman" w:cs="Times New Roman"/>
          <w:sz w:val="24"/>
          <w:szCs w:val="24"/>
        </w:rPr>
      </w:pPr>
    </w:p>
    <w:p w:rsidR="004C5424" w:rsidRDefault="00CF0B00">
      <w:pPr>
        <w:spacing w:after="0"/>
        <w:jc w:val="both"/>
        <w:rPr>
          <w:b/>
          <w:sz w:val="24"/>
          <w:szCs w:val="24"/>
        </w:rPr>
      </w:pPr>
      <w:r>
        <w:rPr>
          <w:b/>
          <w:sz w:val="24"/>
          <w:szCs w:val="24"/>
        </w:rPr>
        <w:t>9. Sección 1112(b)(4)</w:t>
      </w:r>
    </w:p>
    <w:p w:rsidR="004C5424" w:rsidRDefault="004854D8">
      <w:pPr>
        <w:spacing w:after="0"/>
        <w:jc w:val="both"/>
        <w:rPr>
          <w:b/>
          <w:sz w:val="24"/>
          <w:szCs w:val="24"/>
        </w:rPr>
      </w:pPr>
      <w:r>
        <w:rPr>
          <w:b/>
          <w:sz w:val="24"/>
          <w:szCs w:val="24"/>
        </w:rPr>
        <w:t xml:space="preserve">Describe los criterios de pobreza que se utilizarán para seleccionar las áreas de asistencia escolar según la sección 1113. </w:t>
      </w:r>
    </w:p>
    <w:p w:rsidR="004C5424" w:rsidRDefault="004C5424">
      <w:pPr>
        <w:spacing w:after="0"/>
        <w:jc w:val="both"/>
        <w:rPr>
          <w:rFonts w:ascii="Times New Roman" w:eastAsia="Times New Roman" w:hAnsi="Times New Roman" w:cs="Times New Roman"/>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criterio de pobreza utilizado para seleccionar las áreas de asistencia elegibles será el número de niños que pueden acceder a comidas gratuitas y a precio reducido bajo la Ley Nacional de Comidas Escolares.  Las escuelas serán consideradas elegibles en función del mayor porcentaje de necesidad y con al menos un 40% (a nivel escolar) de los niños de familias de bajos ingresos.  Las escuelas se clasificarán desde las más pobres hasta las más ricas. </w:t>
      </w:r>
    </w:p>
    <w:p w:rsidR="004C5424" w:rsidRDefault="004C5424">
      <w:pPr>
        <w:spacing w:after="0"/>
        <w:jc w:val="both"/>
        <w:rPr>
          <w:rFonts w:ascii="Times New Roman" w:eastAsia="Times New Roman" w:hAnsi="Times New Roman" w:cs="Times New Roman"/>
          <w:b/>
          <w:sz w:val="24"/>
          <w:szCs w:val="24"/>
        </w:rPr>
      </w:pPr>
    </w:p>
    <w:p w:rsidR="004C5424" w:rsidRDefault="00CF0B00">
      <w:pPr>
        <w:spacing w:after="0"/>
        <w:jc w:val="both"/>
        <w:rPr>
          <w:b/>
          <w:sz w:val="24"/>
          <w:szCs w:val="24"/>
        </w:rPr>
      </w:pPr>
      <w:r>
        <w:rPr>
          <w:b/>
          <w:sz w:val="24"/>
          <w:szCs w:val="24"/>
        </w:rPr>
        <w:t>10. Sección 1112(b)(5)</w:t>
      </w:r>
    </w:p>
    <w:p w:rsidR="004C5424" w:rsidRDefault="004854D8">
      <w:pPr>
        <w:spacing w:after="0"/>
        <w:jc w:val="both"/>
        <w:rPr>
          <w:b/>
          <w:sz w:val="24"/>
          <w:szCs w:val="24"/>
        </w:rPr>
      </w:pPr>
      <w:r>
        <w:rPr>
          <w:b/>
          <w:sz w:val="24"/>
          <w:szCs w:val="24"/>
        </w:rPr>
        <w:lastRenderedPageBreak/>
        <w:t>Describir la naturaleza de los programas que deben llevar a cabo las escuelas de dicha agencia bajo las secciones de educación a nivel escolar (Sección 1114) y Asistencia Dirigida (Sección 1115) y, cuando corresponda, servicios educativos fuera de dichas escuelas para niños que viven en instituciones locales para niños desatendidos o delincuentes, y para niños desatendidos y delincuentes en programas comunitarios de escuelas diurnas.</w:t>
      </w:r>
    </w:p>
    <w:p w:rsidR="00E20578" w:rsidRPr="00E20578" w:rsidRDefault="00E20578" w:rsidP="00BF51D5">
      <w:pPr>
        <w:pBdr>
          <w:top w:val="none" w:sz="0" w:space="0" w:color="auto"/>
          <w:left w:val="none" w:sz="0" w:space="0" w:color="auto"/>
          <w:bottom w:val="none" w:sz="0" w:space="0" w:color="auto"/>
          <w:right w:val="none" w:sz="0" w:space="0" w:color="auto"/>
          <w:between w:val="none" w:sz="0" w:space="0" w:color="auto"/>
        </w:pBdr>
        <w:spacing w:after="0"/>
        <w:rPr>
          <w:b/>
          <w:sz w:val="24"/>
          <w:szCs w:val="24"/>
        </w:rPr>
      </w:pPr>
      <w:r w:rsidRPr="00E20578">
        <w:rPr>
          <w:rFonts w:ascii="Times New Roman" w:hAnsi="Times New Roman" w:cs="Times New Roman"/>
          <w:sz w:val="24"/>
          <w:szCs w:val="24"/>
        </w:rPr>
        <w:t xml:space="preserve">El Hogar de Chicos Settlement está ubicado dentro del distrito escolar del condado de Dale.  Esta casa es para chicos que son asignados por el sistema judicial y que se les identifica como desatendidos.  Como estudiantes del sistema, estos chicos reciben servicios disponibles para todos los estudiantes del sistema escolar.  También están disponibles servicios ampliados a través del Título I, reservando fondos tanto a nivel de LEA como a nivel escolar.  También reservamos una asignación de nuestra subvención At-Risk para servicios adicionales.  Todas nuestras escuelas Title I son de todo el centro y, de nuevo, todos los estudiantes pueden recibir todas las oportunidades disponibles.  Las escuelas Title I ofrecen a los estudiantes oportunidades adicionales en el uso de la tecnología, recuperación de créditos durante el verano y después del colegio, materiales y suministros, servicios de tutoría tanto después como durante el colegio, RSC, software, etc. Ofrecemos a los docentes oportunidades adicionales de desarrollo profesional, tecnología, materiales y suministros.   Todo esto se suma a los fondos de los programas de la fundación que se proporcionan a todas nuestras escuelas.  Los colegios que tienen el Título I incluyen 4 escuelas primarias, 1 secundaria y 1 instituto.  </w:t>
      </w:r>
    </w:p>
    <w:p w:rsidR="004C5424" w:rsidRDefault="004C5424" w:rsidP="00BF51D5">
      <w:pPr>
        <w:spacing w:after="0" w:line="360" w:lineRule="auto"/>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Sistema Escolar del Condado de Dale ofrecerá servicios a estudiantes desatendidos o con morosidad que asistan a las escuelas del condado de Dale. Seis de las siete escuelas del condado de Dale son escuelas de nivel Title I.  Se prestarán servicios a los niños que sean descuidados o morosos a través del Título I A y/o Título I, N &amp; D.  Estos servicios incluyen asesoramiento, servicios sociales, servicios de salud, instrucción académica y recuperación, programas extraescolares, programas para estudiantes con discapacidad (si son elegibles), servicios para personas sin hogar (si son elegibles) y servicios de transición a medida que los estudiantes regresan de las prácticas en DYS y DHR.    </w:t>
      </w:r>
    </w:p>
    <w:p w:rsidR="004C5424" w:rsidRDefault="004C5424">
      <w:pPr>
        <w:spacing w:after="0"/>
        <w:jc w:val="both"/>
        <w:rPr>
          <w:rFonts w:ascii="Times New Roman" w:eastAsia="Times New Roman" w:hAnsi="Times New Roman" w:cs="Times New Roman"/>
          <w:sz w:val="24"/>
          <w:szCs w:val="24"/>
        </w:rPr>
      </w:pPr>
    </w:p>
    <w:p w:rsidR="004C5424" w:rsidRDefault="00CF0B00">
      <w:pPr>
        <w:spacing w:after="0"/>
        <w:jc w:val="both"/>
        <w:rPr>
          <w:b/>
          <w:sz w:val="24"/>
          <w:szCs w:val="24"/>
        </w:rPr>
      </w:pPr>
      <w:r>
        <w:rPr>
          <w:b/>
          <w:sz w:val="24"/>
          <w:szCs w:val="24"/>
        </w:rPr>
        <w:t>11. Sección 1112(b)(6)</w:t>
      </w:r>
    </w:p>
    <w:p w:rsidR="004C5424" w:rsidRDefault="004854D8">
      <w:pPr>
        <w:spacing w:after="0"/>
        <w:jc w:val="both"/>
        <w:rPr>
          <w:b/>
          <w:sz w:val="24"/>
          <w:szCs w:val="24"/>
        </w:rPr>
      </w:pPr>
      <w:r>
        <w:rPr>
          <w:b/>
          <w:sz w:val="24"/>
          <w:szCs w:val="24"/>
        </w:rPr>
        <w:t>Describe los servicios que la agencia educativa local proporcionará a niños y jóvenes sin hogar, incluidos los servicios con fondos reservados bajo la sección 1113(c)(3)(A), para apoyar la matrícula, asistencia y éxito de niños y jóvenes sin hogar, en coordinación con los servicios que la agencia educativa local ofrece bajo la Ley de Asistencia para Personas sin Hogar McKinney-Vento (42 U.S.C. 11301 y siguientes).</w:t>
      </w:r>
    </w:p>
    <w:p w:rsidR="004C5424" w:rsidRDefault="004C5424">
      <w:pPr>
        <w:spacing w:after="0"/>
        <w:jc w:val="both"/>
        <w:rPr>
          <w:rFonts w:ascii="Times New Roman" w:eastAsia="Times New Roman" w:hAnsi="Times New Roman" w:cs="Times New Roman"/>
          <w:b/>
          <w:sz w:val="24"/>
          <w:szCs w:val="24"/>
        </w:rPr>
      </w:pPr>
    </w:p>
    <w:p w:rsidR="004C5424" w:rsidRDefault="004854D8">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Estudiantes sin hogar</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Cambiar de un lugar a otro suele requerir un traslado a otro colegio.  Para un niño sin hogar, esto puede ocurrir muchas veces y puede ser extremadamente estresante.  Los niños sin hogar pueden experimentar la vergüenza de ir al colegio sin dinero o sin cambios de ropa adecuados, y al mismo </w:t>
      </w:r>
      <w:r>
        <w:rPr>
          <w:rFonts w:ascii="Times New Roman" w:eastAsia="Times New Roman" w:hAnsi="Times New Roman" w:cs="Times New Roman"/>
          <w:sz w:val="24"/>
          <w:szCs w:val="24"/>
        </w:rPr>
        <w:lastRenderedPageBreak/>
        <w:t>tiempo, afrontar el estrés normal de un nuevo entorno escolar.  Su trauma puede manifestarse por falta de motivación, baja asistencia, bajo rendimiento escolar, baja autoestima y bajo desarrollo social.</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mayoría de nuestros estudiantes sin hogar no tienen refugio (vivienda de calidad inferior) y están repartidos con familiares y amigos.  Esta situación de vivienda supone cargas adicionales para ambas familias.  La responsabilidad de la crianza puede convertirse en una responsabilidad compartida de todos los adultos del hogar.  Esto puede crear un problema cuando los adultos no se ponen de acuerdo sobre qué hacer por el niño.  Esta situación puede ser confusa para el niño y frustrante para los adultos y los padres.</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profesorado, el personal y los administradores de nuestro sistema escolar están familiarizados con las condiciones de vida de sus estudiantes y ayudan en la identificación de niños sin hogar.  Se presta especial atención al reconocimiento de los estudiantes que viven en situaciones dobles con amigos y familiares como sin hogar.  Se anima a los profesores a ser especialmente sensibles a los efectos de la falta de hogar en los niños.  Es especialmente importante para los estudiantes sin hogar que el ambiente del aula sea cálido, estable y predecible.  Sin embargo, las expectativas del profesor hacia los estudiantes sin hogar, tanto en el comportamiento como en lo académico, deben ser comparables con las expectativas que se tienen para otros estudiantes.  Si se necesita instrucción adicional, se utilizará el apoyo del Centro de Servicios Familiares del Condado de Dale, la Misión Cristiana u otras agencias locales para apoyar nuestros esfuerzos.</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C5424" w:rsidRDefault="00CE4CF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sistema escolar del condado de Dale proporcionará directamente los siguientes servicios para estudiantes sin hogar: (1) participación completa en los programas de desayuno y almuerzo escolar (2) revisión de expedientes escolares anteriores o evaluación para determinar la necesidad del niño de servicios de educación especial (3) oportunidades completas para participar en actividades escolares (4) participación en programas de tutoría de día y año extendido (5) evaluación de salud,  que debe ser completado por la enfermera escolar, y completar las derivaciones y coordinación de servicios con organizaciones comunitarias y proveedores privados de atención sanitaria para servicios sanitarios adicionales, cuando corresponda (6) asistencia para conseguir ropa, calzado y material de peluquería, cuando sea necesario (7) asistencia para conseguir material escolar y material, incluyendo tasas de laboratorio y arte, tasas de taquillas, anuarios y fotos escolares (8) pueden realizarse visitas domiciliarias para proporcionar asistencia adicional (9) Sin barreras A la matrícula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Sistema Escolar del Condado de Dale cuenta con un Plan de Educación para Personas sin Hogar y una Política de Resolución de Conflictos para Personas sin Hogar en la página web del sistema. La LEA reservará los fondos necesarios en esta parte para ofrecer servicios comparables a los que se ofrecen a los niños en las escuelas. El Sistema Escolar del Condado de Dale empleará prácticas que aumenten la concienciación sobre el Programa de Educación para Personas sin Hogar. El </w:t>
      </w:r>
      <w:r>
        <w:rPr>
          <w:rFonts w:ascii="Times New Roman" w:eastAsia="Times New Roman" w:hAnsi="Times New Roman" w:cs="Times New Roman"/>
          <w:sz w:val="24"/>
          <w:szCs w:val="24"/>
        </w:rPr>
        <w:lastRenderedPageBreak/>
        <w:t xml:space="preserve">sistema notificará a los padres o tutores de niños y jóvenes sin hogar sobre los recursos disponibles y les ayudará a acceder a ellos.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Sistema Escolar del Condado de Dale realizará una evaluación anual de su Programa de Educación para Personas sin Hogar para determinar la eficacia del programa.  El sistema ajustará las prácticas y procedimientos según sea necesario para mejorar la eficacia de la implementación y el rendimiento estudiantil.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Definición:</w:t>
      </w:r>
      <w:r>
        <w:rPr>
          <w:rFonts w:ascii="Times New Roman" w:eastAsia="Times New Roman" w:hAnsi="Times New Roman" w:cs="Times New Roman"/>
          <w:sz w:val="24"/>
          <w:szCs w:val="24"/>
        </w:rPr>
        <w:t xml:space="preserve"> Para identificar a niños y jóvenes sin hogar, el Sistema Escolar del Condado de Dale utilizará la definición de niños y jóvenes sin hogar de la Ley McKinney-Vento.  La Ley define a los niños y jóvenes sin hogar (de veintiún años o menos) como: niños y jóvenes que carecen de una residencia nocturna fija, regular y adecuada, e incluye a niños y jóvenes que (1) comparten la vivienda de otras personas debido a la pérdida de vivienda, dificultades económicas o por una razón similar (es decir, "duplicados") (2) que viven en moteles,  hoteles, caravanas o zonas de acampada debido a la falta de alojamientos adecuados alternativos (3) vivir en refugios de emergencia o de transición (por ejemplo, Penelope House, Ejército de Salvación, etc.) (4) hospitales o edificios abandonados.</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Niños y jóvenes que tienen una residencia nocturna principal que es un lugar público o privado que no está designado ni se utiliza habitualmente como alojamiento para dormir para seres humanos. Niños y jóvenes que viven en coches, parques, espacios públicos, edificios abandonados, viviendas de baja calidad, estaciones de autobús o tren, o entornos similares. Los niños migrantes, ESL o ELL pueden calificar como sin hogar si viven en las circunstancias descritas anteriormente.</w:t>
      </w: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b/>
          <w:sz w:val="24"/>
          <w:szCs w:val="24"/>
        </w:rPr>
      </w:pPr>
    </w:p>
    <w:p w:rsidR="004C5424" w:rsidRDefault="004854D8">
      <w:pPr>
        <w:spacing w:after="0"/>
        <w:jc w:val="both"/>
        <w:rPr>
          <w:b/>
          <w:sz w:val="24"/>
          <w:szCs w:val="24"/>
        </w:rPr>
      </w:pPr>
      <w:r>
        <w:rPr>
          <w:b/>
          <w:sz w:val="24"/>
          <w:szCs w:val="24"/>
        </w:rPr>
        <w:t>12. Sección 1112(b)(8)</w:t>
      </w:r>
    </w:p>
    <w:p w:rsidR="004C5424" w:rsidRDefault="004854D8">
      <w:pPr>
        <w:spacing w:after="0"/>
        <w:jc w:val="both"/>
        <w:rPr>
          <w:b/>
          <w:sz w:val="24"/>
          <w:szCs w:val="24"/>
        </w:rPr>
      </w:pPr>
      <w:r>
        <w:rPr>
          <w:b/>
          <w:sz w:val="24"/>
          <w:szCs w:val="24"/>
        </w:rPr>
        <w:t>Describir, si procede, cómo la agencia educativa local apoyará, coordinará e integrará los servicios proporcionados en esta parte con los programas de educación infantil en la agencia educativa local o a nivel escolar individual, incluyendo planes para la transición de los participantes en dichos programas a los programas de primaria locales.</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servicios para alumnos de preescolar, estudiantes de inglés, niños con discapacidades, niños migrantes, jóvenes desatendidos o delincuentes, niños indios, niños sin hogar e inmigrantes se ofrecerán a través de los programas individuales y el Título I.  Las actividades serán coordinadas a través del coordinador federal de programas para eliminar duplicidades, reducir la fragmentación del programa docente y aumentar la eficacia del programa. Los objetivos del programa incluyen:</w:t>
      </w:r>
    </w:p>
    <w:p w:rsidR="004C5424" w:rsidRDefault="004C5424">
      <w:pPr>
        <w:spacing w:after="0"/>
        <w:jc w:val="both"/>
        <w:rPr>
          <w:rFonts w:ascii="Times New Roman" w:eastAsia="Times New Roman" w:hAnsi="Times New Roman" w:cs="Times New Roman"/>
          <w:sz w:val="24"/>
          <w:szCs w:val="24"/>
        </w:rPr>
      </w:pPr>
    </w:p>
    <w:p w:rsidR="004C5424" w:rsidRDefault="004854D8">
      <w:pPr>
        <w:numPr>
          <w:ilvl w:val="0"/>
          <w:numId w:val="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Proporcionar asistencia técnica anual a cada centro local para revisar su ACIP centrándose en las necesidades de todos los estudiantes, así como la coordinación de todos los recursos locales, estatales y federales.</w:t>
      </w:r>
    </w:p>
    <w:p w:rsidR="004C5424" w:rsidRDefault="004854D8">
      <w:pPr>
        <w:numPr>
          <w:ilvl w:val="0"/>
          <w:numId w:val="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Proporcionar apoyo, basado en las necesidades de las escuelas locales, para promover mejoras educativas y aumentar el nivel de rendimiento de todos los estudiantes.</w:t>
      </w:r>
    </w:p>
    <w:p w:rsidR="004C5424" w:rsidRDefault="004854D8">
      <w:pPr>
        <w:numPr>
          <w:ilvl w:val="0"/>
          <w:numId w:val="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Utilizar eficazmente los recursos a nivel estatal y local mediante la alineación y coordinación de los programas estatales y federales.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b/>
          <w:sz w:val="24"/>
          <w:szCs w:val="24"/>
        </w:rPr>
      </w:pPr>
      <w:r>
        <w:rPr>
          <w:b/>
          <w:sz w:val="24"/>
          <w:szCs w:val="24"/>
        </w:rPr>
        <w:t>13. Sección 1112(b)(9)</w:t>
      </w:r>
    </w:p>
    <w:p w:rsidR="004C5424" w:rsidRDefault="004854D8">
      <w:pPr>
        <w:spacing w:after="0"/>
        <w:jc w:val="both"/>
        <w:rPr>
          <w:b/>
          <w:sz w:val="24"/>
          <w:szCs w:val="24"/>
        </w:rPr>
      </w:pPr>
      <w:r>
        <w:rPr>
          <w:b/>
          <w:sz w:val="24"/>
          <w:szCs w:val="24"/>
        </w:rPr>
        <w:t>Describe cómo los profesores y los responsables escolares, en consulta con padres, administradores, paraprofesionales y personal especializado de apoyo docente, en escuelas que operan un programa escolar de asistencia dirigido bajo la sección 1115, identificarán a los niños elegibles que más necesitan servicios bajo esta parte.</w:t>
      </w:r>
    </w:p>
    <w:p w:rsidR="004C5424" w:rsidRDefault="004C5424">
      <w:pPr>
        <w:spacing w:after="0"/>
        <w:jc w:val="both"/>
        <w:rPr>
          <w:rFonts w:ascii="Times New Roman" w:eastAsia="Times New Roman" w:hAnsi="Times New Roman" w:cs="Times New Roman"/>
          <w:b/>
          <w:sz w:val="24"/>
          <w:szCs w:val="24"/>
        </w:rPr>
      </w:pPr>
    </w:p>
    <w:p w:rsidR="004C5424" w:rsidRDefault="004854D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Programa de Asistencia Dirigida</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ninguna escuela del Sistema Escolar del Condado de Dale opera bajo un Programa de Asistencia Dirigida.  El Sistema Escolar del Condado de Dale identificará a los estudiantes que experimenten dificultades académicas y proporcionará asistencia instruccional oportuna para ayudar a estos estudiantes en la escuela para la que se cumplen los criterios de elegibilidad. El programa incluirá programas educativos para personas desfavorecidas, con discapacidad, superdotadas y con un dominio limitado del inglés. </w:t>
      </w:r>
    </w:p>
    <w:p w:rsidR="004C5424" w:rsidRDefault="004C5424">
      <w:pPr>
        <w:jc w:val="both"/>
        <w:rPr>
          <w:rFonts w:ascii="Times New Roman" w:eastAsia="Times New Roman" w:hAnsi="Times New Roman" w:cs="Times New Roman"/>
          <w:sz w:val="24"/>
          <w:szCs w:val="24"/>
        </w:rPr>
      </w:pPr>
    </w:p>
    <w:p w:rsidR="004C5424" w:rsidRDefault="004854D8">
      <w:pPr>
        <w:spacing w:after="0"/>
        <w:jc w:val="both"/>
        <w:rPr>
          <w:b/>
          <w:sz w:val="24"/>
          <w:szCs w:val="24"/>
        </w:rPr>
      </w:pPr>
      <w:r>
        <w:rPr>
          <w:b/>
          <w:sz w:val="24"/>
          <w:szCs w:val="24"/>
        </w:rPr>
        <w:t>14. Sección 1112(b)(10)(A)</w:t>
      </w:r>
    </w:p>
    <w:p w:rsidR="004C5424" w:rsidRDefault="004854D8">
      <w:pPr>
        <w:spacing w:after="0"/>
        <w:jc w:val="both"/>
        <w:rPr>
          <w:b/>
          <w:sz w:val="24"/>
          <w:szCs w:val="24"/>
        </w:rPr>
      </w:pPr>
      <w:r>
        <w:rPr>
          <w:b/>
          <w:sz w:val="24"/>
          <w:szCs w:val="24"/>
        </w:rPr>
        <w:t>Describe cómo la agencia educativa local implementará estrategias para facilitar transiciones efectivas para los estudiantes de secundaria a secundaria y de secundaria a educación postsecundaria mediante la coordinación con instituciones de educación superior, empleadores y otros socios locales.</w:t>
      </w:r>
    </w:p>
    <w:p w:rsidR="004C5424" w:rsidRDefault="004C5424">
      <w:pPr>
        <w:spacing w:after="0"/>
        <w:jc w:val="both"/>
        <w:rPr>
          <w:b/>
          <w:sz w:val="24"/>
          <w:szCs w:val="24"/>
        </w:rPr>
      </w:pPr>
    </w:p>
    <w:p w:rsidR="004C5424" w:rsidRDefault="00CE4CF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escuelas del condado de Dale implementarán las siguientes estrategias para facilitar transiciones efectivas de los estudiantes de octavo curso a bachillerato:</w:t>
      </w:r>
    </w:p>
    <w:p w:rsidR="00363AEE" w:rsidRPr="00363AEE" w:rsidRDefault="00363AEE" w:rsidP="00DB326D">
      <w:pPr>
        <w:numPr>
          <w:ilvl w:val="0"/>
          <w:numId w:val="25"/>
        </w:numPr>
        <w:spacing w:after="0"/>
        <w:contextualSpacing/>
        <w:jc w:val="both"/>
        <w:rPr>
          <w:rFonts w:ascii="Times New Roman" w:hAnsi="Times New Roman" w:cs="Times New Roman"/>
          <w:sz w:val="24"/>
          <w:szCs w:val="24"/>
        </w:rPr>
      </w:pPr>
      <w:r w:rsidRPr="00363AEE">
        <w:rPr>
          <w:rFonts w:ascii="Times New Roman" w:hAnsi="Times New Roman" w:cs="Times New Roman"/>
          <w:sz w:val="24"/>
          <w:szCs w:val="24"/>
        </w:rPr>
        <w:t>Utilizamos nuestro Plan de Estudios Asesor para abordar estas transiciones desde la secundaria hasta el instituto, así como desde la secundaria hasta la secundaria.  También colaboramos con la Extensión 4-H y organizamos un "Reality Check" para todos los estudiantes de 9º curso, que es una colaboración entre varias empresas y empresas.</w:t>
      </w:r>
    </w:p>
    <w:p w:rsidR="004C5424" w:rsidRPr="00363AEE" w:rsidRDefault="004854D8" w:rsidP="00DB326D">
      <w:pPr>
        <w:numPr>
          <w:ilvl w:val="0"/>
          <w:numId w:val="25"/>
        </w:numPr>
        <w:spacing w:after="0"/>
        <w:contextualSpacing/>
        <w:jc w:val="both"/>
        <w:rPr>
          <w:sz w:val="24"/>
          <w:szCs w:val="24"/>
        </w:rPr>
      </w:pPr>
      <w:r w:rsidRPr="00363AEE">
        <w:rPr>
          <w:rFonts w:ascii="Times New Roman" w:eastAsia="Times New Roman" w:hAnsi="Times New Roman" w:cs="Times New Roman"/>
          <w:sz w:val="24"/>
          <w:szCs w:val="24"/>
        </w:rPr>
        <w:t xml:space="preserve">Los orientadores de secundaria se reúnen con estudiantes de 8º curso y padres durante una noche para </w:t>
      </w:r>
      <w:proofErr w:type="gramStart"/>
      <w:r w:rsidRPr="00363AEE">
        <w:rPr>
          <w:rFonts w:ascii="Times New Roman" w:eastAsia="Times New Roman" w:hAnsi="Times New Roman" w:cs="Times New Roman"/>
          <w:sz w:val="24"/>
          <w:szCs w:val="24"/>
        </w:rPr>
        <w:t>padres</w:t>
      </w:r>
      <w:proofErr w:type="gramEnd"/>
      <w:r w:rsidRPr="00363AEE">
        <w:rPr>
          <w:rFonts w:ascii="Times New Roman" w:eastAsia="Times New Roman" w:hAnsi="Times New Roman" w:cs="Times New Roman"/>
          <w:sz w:val="24"/>
          <w:szCs w:val="24"/>
        </w:rPr>
        <w:t xml:space="preserve"> para discutir los requisitos de graduación, los planes de cuatro años y las opciones de solicitud de cursos para el próximo curso escolar.</w:t>
      </w:r>
    </w:p>
    <w:p w:rsidR="004C5424" w:rsidRPr="00DB326D" w:rsidRDefault="00363AEE" w:rsidP="00DB326D">
      <w:pPr>
        <w:numPr>
          <w:ilvl w:val="0"/>
          <w:numId w:val="25"/>
        </w:numPr>
        <w:spacing w:after="0"/>
        <w:contextualSpacing/>
        <w:jc w:val="both"/>
        <w:rPr>
          <w:sz w:val="24"/>
          <w:szCs w:val="24"/>
        </w:rPr>
      </w:pPr>
      <w:r>
        <w:rPr>
          <w:rFonts w:ascii="Times New Roman" w:eastAsia="Times New Roman" w:hAnsi="Times New Roman" w:cs="Times New Roman"/>
          <w:sz w:val="24"/>
          <w:szCs w:val="24"/>
        </w:rPr>
        <w:t xml:space="preserve">Los alumnos de octavo curso hacen una excursión por el campus antes de que comience el curso. También se invita a los padres a venir y recorrer el campus y las aulas antes de que el alumno entre en 9º curso. </w:t>
      </w:r>
    </w:p>
    <w:p w:rsidR="004C5424" w:rsidRDefault="004C5424">
      <w:pPr>
        <w:spacing w:after="0"/>
        <w:jc w:val="both"/>
        <w:rPr>
          <w:rFonts w:ascii="Times New Roman" w:eastAsia="Times New Roman" w:hAnsi="Times New Roman" w:cs="Times New Roman"/>
          <w:sz w:val="24"/>
          <w:szCs w:val="24"/>
        </w:rPr>
      </w:pPr>
    </w:p>
    <w:p w:rsidR="004C5424" w:rsidRDefault="00363A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Las escuelas del condado de Dale implementarán las siguientes estrategias para facilitar transiciones efectivas de los estudiantes de secundaria a instituciones postsecundarias:</w:t>
      </w:r>
    </w:p>
    <w:p w:rsidR="004C5424"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Excursiones a varios colegios locales</w:t>
      </w:r>
    </w:p>
    <w:p w:rsidR="004C5424" w:rsidRPr="00363AEE"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Exposiciones de empleo y ferias universitarias</w:t>
      </w:r>
    </w:p>
    <w:p w:rsidR="00363AEE" w:rsidRPr="00363AEE" w:rsidRDefault="00363AEE">
      <w:pPr>
        <w:numPr>
          <w:ilvl w:val="0"/>
          <w:numId w:val="27"/>
        </w:numPr>
        <w:spacing w:after="0"/>
        <w:contextualSpacing/>
        <w:jc w:val="both"/>
        <w:rPr>
          <w:rFonts w:ascii="Times New Roman" w:hAnsi="Times New Roman" w:cs="Times New Roman"/>
          <w:sz w:val="24"/>
          <w:szCs w:val="24"/>
        </w:rPr>
      </w:pPr>
      <w:r w:rsidRPr="00363AEE">
        <w:rPr>
          <w:rFonts w:ascii="Times New Roman" w:hAnsi="Times New Roman" w:cs="Times New Roman"/>
          <w:sz w:val="24"/>
          <w:szCs w:val="24"/>
        </w:rPr>
        <w:t>A lo largo del año tendremos a varios reclutadores universitarios, reclutadores militares, propietarios de negocios, etc., que se reunirán con nuestra clase de último curso para asegurarnos de que saben qué opciones hay disponibles.</w:t>
      </w:r>
    </w:p>
    <w:p w:rsidR="004C5424"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El coach profesional del condado de Dale ofrece planificación individual con los estudiantes</w:t>
      </w:r>
    </w:p>
    <w:p w:rsidR="004C5424"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Reclutadores universitarios y militares visitan cada instituto para hablar de planes profesionales futuros con los estudiantes.</w:t>
      </w:r>
    </w:p>
    <w:p w:rsidR="004C5424" w:rsidRDefault="004854D8">
      <w:pPr>
        <w:numPr>
          <w:ilvl w:val="0"/>
          <w:numId w:val="27"/>
        </w:numPr>
        <w:contextualSpacing/>
        <w:jc w:val="both"/>
        <w:rPr>
          <w:sz w:val="24"/>
          <w:szCs w:val="24"/>
        </w:rPr>
      </w:pPr>
      <w:r>
        <w:rPr>
          <w:rFonts w:ascii="Times New Roman" w:eastAsia="Times New Roman" w:hAnsi="Times New Roman" w:cs="Times New Roman"/>
          <w:sz w:val="24"/>
          <w:szCs w:val="24"/>
        </w:rPr>
        <w:t>Oportunidades de prácticas para seniors</w:t>
      </w:r>
    </w:p>
    <w:p w:rsidR="004C5424" w:rsidRDefault="004854D8">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Oportunidades de doble matrícula y CRI</w:t>
      </w:r>
    </w:p>
    <w:p w:rsidR="004C5424" w:rsidRDefault="00DB326D">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Práctica de preparación y </w:t>
      </w:r>
      <w:proofErr w:type="spellStart"/>
      <w:r>
        <w:rPr>
          <w:rFonts w:ascii="Times New Roman" w:eastAsia="Times New Roman" w:hAnsi="Times New Roman" w:cs="Times New Roman"/>
          <w:sz w:val="24"/>
          <w:szCs w:val="24"/>
        </w:rPr>
        <w:t>WorkKeys</w:t>
      </w:r>
      <w:proofErr w:type="spellEnd"/>
      <w:r>
        <w:rPr>
          <w:rFonts w:ascii="Times New Roman" w:eastAsia="Times New Roman" w:hAnsi="Times New Roman" w:cs="Times New Roman"/>
          <w:sz w:val="24"/>
          <w:szCs w:val="24"/>
        </w:rPr>
        <w:t xml:space="preserve"> para ACT</w:t>
      </w:r>
    </w:p>
    <w:p w:rsidR="00DB326D" w:rsidRDefault="00DB326D" w:rsidP="00DB326D">
      <w:pPr>
        <w:ind w:left="720"/>
        <w:contextualSpacing/>
        <w:jc w:val="both"/>
        <w:rPr>
          <w:rFonts w:ascii="Times New Roman" w:eastAsia="Times New Roman" w:hAnsi="Times New Roman" w:cs="Times New Roman"/>
          <w:sz w:val="24"/>
          <w:szCs w:val="24"/>
        </w:rPr>
      </w:pPr>
    </w:p>
    <w:p w:rsidR="004C5424" w:rsidRDefault="004854D8">
      <w:pPr>
        <w:spacing w:after="0"/>
        <w:jc w:val="both"/>
        <w:rPr>
          <w:b/>
          <w:sz w:val="24"/>
          <w:szCs w:val="24"/>
        </w:rPr>
      </w:pPr>
      <w:r>
        <w:rPr>
          <w:b/>
          <w:sz w:val="24"/>
          <w:szCs w:val="24"/>
        </w:rPr>
        <w:t>15. Sección 1112(b)(10)(B)</w:t>
      </w:r>
    </w:p>
    <w:p w:rsidR="004C5424" w:rsidRDefault="004854D8">
      <w:pPr>
        <w:spacing w:after="0"/>
        <w:jc w:val="both"/>
        <w:rPr>
          <w:b/>
          <w:sz w:val="24"/>
          <w:szCs w:val="24"/>
        </w:rPr>
      </w:pPr>
      <w:r>
        <w:rPr>
          <w:b/>
          <w:sz w:val="24"/>
          <w:szCs w:val="24"/>
        </w:rPr>
        <w:t>Describe cómo la agencia educativa local implementará estrategias para facilitar transiciones efectivas de los estudiantes de secundaria a secundaria y de secundaria a educación postsecundaria mediante un mayor acceso de los estudiantes a la escuela secundaria temprana o a oportunidades de matrícula dual o concurrente, o orientación profesional para identificar intereses y habilidades estudiantiles.</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los cursos intermedios hasta el instituto:</w:t>
      </w:r>
    </w:p>
    <w:p w:rsidR="00DB326D" w:rsidRPr="00DB326D" w:rsidRDefault="004854D8" w:rsidP="00DB326D">
      <w:pPr>
        <w:numPr>
          <w:ilvl w:val="0"/>
          <w:numId w:val="13"/>
        </w:numPr>
        <w:spacing w:after="0"/>
        <w:contextualSpacing/>
        <w:jc w:val="both"/>
        <w:rPr>
          <w:sz w:val="24"/>
          <w:szCs w:val="24"/>
        </w:rPr>
      </w:pPr>
      <w:r>
        <w:rPr>
          <w:rFonts w:ascii="Times New Roman" w:eastAsia="Times New Roman" w:hAnsi="Times New Roman" w:cs="Times New Roman"/>
          <w:sz w:val="24"/>
          <w:szCs w:val="24"/>
        </w:rPr>
        <w:t>Comenzar la introducción de la matrícula dual para los alumnos de octavo curso durante la noche de padres y la orientación</w:t>
      </w:r>
    </w:p>
    <w:p w:rsidR="004C5424" w:rsidRDefault="004854D8">
      <w:pPr>
        <w:numPr>
          <w:ilvl w:val="0"/>
          <w:numId w:val="13"/>
        </w:numPr>
        <w:spacing w:after="0"/>
        <w:contextualSpacing/>
        <w:jc w:val="both"/>
        <w:rPr>
          <w:sz w:val="24"/>
          <w:szCs w:val="24"/>
        </w:rPr>
      </w:pPr>
      <w:r>
        <w:rPr>
          <w:rFonts w:ascii="Times New Roman" w:eastAsia="Times New Roman" w:hAnsi="Times New Roman" w:cs="Times New Roman"/>
          <w:sz w:val="24"/>
          <w:szCs w:val="24"/>
        </w:rPr>
        <w:t>Todos los alumnos de noveno curso cursan un curso de preparación profesional que les ayuda a identificar habilidades, valores laborales e intereses</w:t>
      </w:r>
    </w:p>
    <w:p w:rsidR="004C5424" w:rsidRPr="00F225D6" w:rsidRDefault="004854D8">
      <w:pPr>
        <w:numPr>
          <w:ilvl w:val="0"/>
          <w:numId w:val="13"/>
        </w:numPr>
        <w:spacing w:after="0"/>
        <w:contextualSpacing/>
        <w:jc w:val="both"/>
        <w:rPr>
          <w:sz w:val="24"/>
          <w:szCs w:val="24"/>
        </w:rPr>
      </w:pPr>
      <w:r>
        <w:rPr>
          <w:rFonts w:ascii="Times New Roman" w:eastAsia="Times New Roman" w:hAnsi="Times New Roman" w:cs="Times New Roman"/>
          <w:sz w:val="24"/>
          <w:szCs w:val="24"/>
        </w:rPr>
        <w:t>Wirgrass Works ofrece una exposición de carreras para ayudar a los estudiantes a identificar intereses profesionales</w:t>
      </w:r>
    </w:p>
    <w:p w:rsidR="00F225D6" w:rsidRDefault="00F225D6">
      <w:pPr>
        <w:numPr>
          <w:ilvl w:val="0"/>
          <w:numId w:val="13"/>
        </w:numPr>
        <w:spacing w:after="0"/>
        <w:contextualSpacing/>
        <w:jc w:val="both"/>
        <w:rPr>
          <w:sz w:val="24"/>
          <w:szCs w:val="24"/>
        </w:rPr>
      </w:pPr>
      <w:r>
        <w:rPr>
          <w:sz w:val="24"/>
          <w:szCs w:val="24"/>
        </w:rPr>
        <w:t xml:space="preserve">Gestionamos un inventario de intereses profesionales </w:t>
      </w:r>
    </w:p>
    <w:p w:rsidR="00F225D6" w:rsidRDefault="00F225D6">
      <w:pPr>
        <w:numPr>
          <w:ilvl w:val="0"/>
          <w:numId w:val="13"/>
        </w:numPr>
        <w:spacing w:after="0"/>
        <w:contextualSpacing/>
        <w:jc w:val="both"/>
        <w:rPr>
          <w:sz w:val="24"/>
          <w:szCs w:val="24"/>
        </w:rPr>
      </w:pPr>
      <w:r>
        <w:rPr>
          <w:sz w:val="24"/>
          <w:szCs w:val="24"/>
        </w:rPr>
        <w:t>Contamos con un coach de tecnología profesional y un orientador de orientación profesional en plantilla para ayudar con las transiciones</w:t>
      </w:r>
    </w:p>
    <w:p w:rsidR="003D0E3D" w:rsidRDefault="003D0E3D">
      <w:pPr>
        <w:spacing w:after="0"/>
        <w:jc w:val="both"/>
        <w:rPr>
          <w:rFonts w:ascii="Times New Roman" w:eastAsia="Times New Roman" w:hAnsi="Times New Roman" w:cs="Times New Roman"/>
          <w:sz w:val="24"/>
          <w:szCs w:val="24"/>
        </w:rPr>
      </w:pPr>
    </w:p>
    <w:p w:rsidR="003D0E3D" w:rsidRDefault="003D0E3D">
      <w:pPr>
        <w:spacing w:after="0"/>
        <w:jc w:val="both"/>
        <w:rPr>
          <w:rFonts w:ascii="Times New Roman" w:eastAsia="Times New Roman" w:hAnsi="Times New Roman" w:cs="Times New Roman"/>
          <w:sz w:val="24"/>
          <w:szCs w:val="24"/>
        </w:rPr>
      </w:pPr>
    </w:p>
    <w:p w:rsidR="003D0E3D" w:rsidRDefault="003D0E3D">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Educación secundaria a educación postsecundaria:</w:t>
      </w:r>
    </w:p>
    <w:p w:rsidR="004C5424"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Oportunidades de doble matrícula/inicio de la universidad para los cursos 10-12 tanto en áreas técnicas profesionales como académicas</w:t>
      </w:r>
    </w:p>
    <w:p w:rsidR="004C5424" w:rsidRDefault="004854D8">
      <w:pPr>
        <w:numPr>
          <w:ilvl w:val="0"/>
          <w:numId w:val="27"/>
        </w:numPr>
        <w:contextualSpacing/>
        <w:jc w:val="both"/>
        <w:rPr>
          <w:sz w:val="24"/>
          <w:szCs w:val="24"/>
        </w:rPr>
      </w:pPr>
      <w:r>
        <w:rPr>
          <w:rFonts w:ascii="Times New Roman" w:eastAsia="Times New Roman" w:hAnsi="Times New Roman" w:cs="Times New Roman"/>
          <w:sz w:val="24"/>
          <w:szCs w:val="24"/>
        </w:rPr>
        <w:t>Los orientadores de secundaria y el Coach de Orientación Profesional ofrecen planificación y asesoramiento profesional para todos los estudiantes</w:t>
      </w:r>
    </w:p>
    <w:p w:rsidR="004C5424" w:rsidRDefault="004854D8">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Mayores oportunidades para obtener CRI </w:t>
      </w:r>
    </w:p>
    <w:p w:rsidR="00847E2C" w:rsidRDefault="00F225D6">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Contamos con BRIDGE Academy, que es un centro de orientación profesional centralizado que atiende a todos los estudiantes de secundaria del condado de Dale y ofrece oportunidades de doble matrícula</w:t>
      </w:r>
    </w:p>
    <w:p w:rsidR="00F225D6" w:rsidRDefault="00F225D6">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Contamos con un coach de carrera y un orientador técnico profesional</w:t>
      </w:r>
    </w:p>
    <w:p w:rsidR="00DB326D" w:rsidRDefault="00DB326D" w:rsidP="00DB326D">
      <w:pPr>
        <w:ind w:left="720"/>
        <w:contextualSpacing/>
        <w:jc w:val="both"/>
        <w:rPr>
          <w:rFonts w:ascii="Times New Roman" w:eastAsia="Times New Roman" w:hAnsi="Times New Roman" w:cs="Times New Roman"/>
          <w:sz w:val="24"/>
          <w:szCs w:val="24"/>
        </w:rPr>
      </w:pPr>
    </w:p>
    <w:p w:rsidR="004C5424" w:rsidRDefault="004854D8">
      <w:pPr>
        <w:spacing w:after="0"/>
        <w:jc w:val="both"/>
        <w:rPr>
          <w:b/>
          <w:sz w:val="24"/>
          <w:szCs w:val="24"/>
        </w:rPr>
      </w:pPr>
      <w:r>
        <w:rPr>
          <w:b/>
          <w:sz w:val="24"/>
          <w:szCs w:val="24"/>
        </w:rPr>
        <w:t>16. Sección 1112(b</w:t>
      </w:r>
      <w:proofErr w:type="gramStart"/>
      <w:r>
        <w:rPr>
          <w:b/>
          <w:sz w:val="24"/>
          <w:szCs w:val="24"/>
        </w:rPr>
        <w:t>)(</w:t>
      </w:r>
      <w:proofErr w:type="gramEnd"/>
      <w:r>
        <w:rPr>
          <w:b/>
          <w:sz w:val="24"/>
          <w:szCs w:val="24"/>
        </w:rPr>
        <w:t>11)</w:t>
      </w:r>
    </w:p>
    <w:p w:rsidR="004C5424" w:rsidRDefault="004854D8">
      <w:pPr>
        <w:spacing w:after="0"/>
        <w:jc w:val="both"/>
        <w:rPr>
          <w:sz w:val="24"/>
          <w:szCs w:val="24"/>
        </w:rPr>
      </w:pPr>
      <w:r>
        <w:rPr>
          <w:b/>
          <w:sz w:val="24"/>
          <w:szCs w:val="24"/>
        </w:rPr>
        <w:t>Describe cómo la agencia educativa local apoyará los esfuerzos para reducir el uso excesivo de prácticas disciplinarias que excluyen a los estudiantes del aula, lo que puede incluir identificar y apoyar escuelas con altas tasas de disciplina, desglosadas por cada uno de los subgrupos de estudiantes, según la definición de la sección 1111(c)(2) (económicamente desfavorecidos; estudiantes de grupos raciales y étnicos mayoritarios; niños con discapacidades; y estudiantes de inglés)</w:t>
      </w:r>
    </w:p>
    <w:p w:rsidR="004C5424" w:rsidRDefault="004C5424">
      <w:pPr>
        <w:spacing w:after="0"/>
        <w:jc w:val="both"/>
        <w:rPr>
          <w:sz w:val="24"/>
          <w:szCs w:val="24"/>
        </w:rPr>
      </w:pPr>
    </w:p>
    <w:p w:rsidR="004C5424" w:rsidRDefault="001610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Escuelas del Condado de Dale apoyan los esfuerzos para reducir el uso excesivo de prácticas disciplinarias que alejan a los estudiantes del aula de las siguientes maneras:</w:t>
      </w:r>
    </w:p>
    <w:p w:rsidR="004C5424" w:rsidRDefault="004854D8">
      <w:pPr>
        <w:numPr>
          <w:ilvl w:val="0"/>
          <w:numId w:val="14"/>
        </w:numPr>
        <w:spacing w:after="0"/>
        <w:contextualSpacing/>
        <w:jc w:val="both"/>
        <w:rPr>
          <w:sz w:val="24"/>
          <w:szCs w:val="24"/>
        </w:rPr>
      </w:pPr>
      <w:r>
        <w:rPr>
          <w:rFonts w:ascii="Times New Roman" w:eastAsia="Times New Roman" w:hAnsi="Times New Roman" w:cs="Times New Roman"/>
          <w:sz w:val="24"/>
          <w:szCs w:val="24"/>
        </w:rPr>
        <w:t>El PST trabaja para desarrollar e implementar estrategias diseñadas para reducir conductas problemáticas en los estudiantes.</w:t>
      </w:r>
    </w:p>
    <w:p w:rsidR="004C5424" w:rsidRDefault="001610FD">
      <w:pPr>
        <w:numPr>
          <w:ilvl w:val="0"/>
          <w:numId w:val="14"/>
        </w:numPr>
        <w:spacing w:after="0"/>
        <w:contextualSpacing/>
        <w:jc w:val="both"/>
        <w:rPr>
          <w:sz w:val="24"/>
          <w:szCs w:val="24"/>
        </w:rPr>
      </w:pPr>
      <w:r>
        <w:rPr>
          <w:rFonts w:ascii="Times New Roman" w:eastAsia="Times New Roman" w:hAnsi="Times New Roman" w:cs="Times New Roman"/>
          <w:sz w:val="24"/>
          <w:szCs w:val="24"/>
        </w:rPr>
        <w:t>Las Escuelas del Condado de Dale cuentan con un plan de Apoyo a la Conducta Positiva (PBS) que enfatiza las tres R: ser Responsable, Respetuoso y Ingenioso.  Los estudiantes son recompensados por ejemplificar un buen comportamiento en lugar de ser castigados por su mal comportamiento.</w:t>
      </w:r>
    </w:p>
    <w:p w:rsidR="004C5424" w:rsidRDefault="004854D8">
      <w:pPr>
        <w:numPr>
          <w:ilvl w:val="0"/>
          <w:numId w:val="14"/>
        </w:numPr>
        <w:spacing w:after="0"/>
        <w:contextualSpacing/>
        <w:jc w:val="both"/>
        <w:rPr>
          <w:sz w:val="24"/>
          <w:szCs w:val="24"/>
        </w:rPr>
      </w:pPr>
      <w:r>
        <w:rPr>
          <w:rFonts w:ascii="Times New Roman" w:eastAsia="Times New Roman" w:hAnsi="Times New Roman" w:cs="Times New Roman"/>
          <w:sz w:val="24"/>
          <w:szCs w:val="24"/>
        </w:rPr>
        <w:t>Cada centro cuenta con un comité disciplinario para atender a los estudiantes con problemas crónicos de conducta y para asignar consecuencias por conducta indebida.</w:t>
      </w:r>
    </w:p>
    <w:p w:rsidR="004C5424" w:rsidRDefault="004854D8">
      <w:pPr>
        <w:numPr>
          <w:ilvl w:val="0"/>
          <w:numId w:val="14"/>
        </w:numPr>
        <w:spacing w:after="0"/>
        <w:contextualSpacing/>
        <w:jc w:val="both"/>
        <w:rPr>
          <w:sz w:val="24"/>
          <w:szCs w:val="24"/>
        </w:rPr>
      </w:pPr>
      <w:r>
        <w:rPr>
          <w:rFonts w:ascii="Times New Roman" w:eastAsia="Times New Roman" w:hAnsi="Times New Roman" w:cs="Times New Roman"/>
          <w:sz w:val="24"/>
          <w:szCs w:val="24"/>
        </w:rPr>
        <w:t>Se ofrece formación profesional periódicamente a todos los profesores sobre gestión del comportamiento.</w:t>
      </w:r>
    </w:p>
    <w:p w:rsidR="004C5424" w:rsidRDefault="004854D8">
      <w:pPr>
        <w:numPr>
          <w:ilvl w:val="0"/>
          <w:numId w:val="14"/>
        </w:numPr>
        <w:contextualSpacing/>
        <w:jc w:val="both"/>
        <w:rPr>
          <w:sz w:val="24"/>
          <w:szCs w:val="24"/>
        </w:rPr>
      </w:pPr>
      <w:r>
        <w:rPr>
          <w:rFonts w:ascii="Times New Roman" w:eastAsia="Times New Roman" w:hAnsi="Times New Roman" w:cs="Times New Roman"/>
          <w:sz w:val="24"/>
          <w:szCs w:val="24"/>
        </w:rPr>
        <w:t>Revisa el informe anual de Informe de Incidentes Estudiantiles (SIR) para analizar los datos desglosados por subgrupos, de modo que se puedan tomar medidas para aumentar el apoyo y reducir incidentes disciplinares en los subgrupos identificados.</w:t>
      </w:r>
    </w:p>
    <w:p w:rsidR="004C5424" w:rsidRDefault="004C5424">
      <w:pPr>
        <w:spacing w:after="0"/>
        <w:jc w:val="both"/>
        <w:rPr>
          <w:b/>
          <w:sz w:val="24"/>
          <w:szCs w:val="24"/>
        </w:rPr>
      </w:pPr>
    </w:p>
    <w:p w:rsidR="004C5424" w:rsidRDefault="004854D8">
      <w:pPr>
        <w:spacing w:after="0" w:line="331" w:lineRule="auto"/>
        <w:jc w:val="both"/>
        <w:rPr>
          <w:b/>
          <w:sz w:val="24"/>
          <w:szCs w:val="24"/>
          <w:highlight w:val="white"/>
        </w:rPr>
      </w:pPr>
      <w:r>
        <w:rPr>
          <w:b/>
          <w:sz w:val="24"/>
          <w:szCs w:val="24"/>
          <w:highlight w:val="white"/>
        </w:rPr>
        <w:t>17. Sección 1112(b)(12)(A)</w:t>
      </w:r>
    </w:p>
    <w:p w:rsidR="004C5424" w:rsidRDefault="004854D8">
      <w:pPr>
        <w:spacing w:after="0" w:line="331" w:lineRule="auto"/>
        <w:jc w:val="both"/>
        <w:rPr>
          <w:rFonts w:ascii="Times New Roman" w:eastAsia="Times New Roman" w:hAnsi="Times New Roman" w:cs="Times New Roman"/>
          <w:b/>
          <w:sz w:val="24"/>
          <w:szCs w:val="24"/>
          <w:highlight w:val="white"/>
        </w:rPr>
      </w:pPr>
      <w:r>
        <w:rPr>
          <w:b/>
          <w:sz w:val="24"/>
          <w:szCs w:val="24"/>
          <w:highlight w:val="white"/>
        </w:rPr>
        <w:t xml:space="preserve">Describir, si la agencia educativa local lo determina oportuno, cómo dicha agencia apoyará programas que coordinen e integren contenidos académicos, profesionales y técnicos mediante estrategias instruccionales coordinadas que puedan incorporar oportunidades de aprendizaje experiencial y promover la adquisición de habilidades </w:t>
      </w:r>
      <w:r>
        <w:rPr>
          <w:rFonts w:ascii="Times New Roman" w:eastAsia="Times New Roman" w:hAnsi="Times New Roman" w:cs="Times New Roman"/>
          <w:b/>
          <w:sz w:val="24"/>
          <w:szCs w:val="24"/>
          <w:highlight w:val="white"/>
        </w:rPr>
        <w:t>importantes para ocupaciones o industrias demandadas en el Estado.</w:t>
      </w:r>
    </w:p>
    <w:p w:rsidR="004C5424" w:rsidRDefault="004C5424">
      <w:pPr>
        <w:spacing w:after="0"/>
        <w:jc w:val="both"/>
        <w:rPr>
          <w:rFonts w:ascii="Times New Roman" w:eastAsia="Times New Roman" w:hAnsi="Times New Roman" w:cs="Times New Roman"/>
          <w:b/>
          <w:sz w:val="24"/>
          <w:szCs w:val="24"/>
          <w:highlight w:val="white"/>
        </w:rPr>
      </w:pPr>
    </w:p>
    <w:p w:rsidR="004C5424" w:rsidRDefault="004B62D8" w:rsidP="00636BCD">
      <w:pPr>
        <w:shd w:val="clear" w:color="auto" w:fill="FFFFFF"/>
        <w:spacing w:before="100" w:beforeAutospacing="1" w:after="100" w:afterAutospacing="1" w:line="32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Las Escuelas del Condado de Dale apoyan la integración de la educación académica y técnica profesional. Los estudiantes de secundaria tienen acceso a diversos programas técnicos profesionales, oportunidades de doble matrícula con colegios comunitarios locales, que ofrecen tanto clases académicas y técnicas profesionales de doble matrícula como clases técnicas profesionales no dobles. El condado de Dale también ha abierto recientemente un centro técnico de carreras (Bridge Academy) que colabora con otros sistemas escolares para ofrecer más oportunidades técnicas de carrera a los estudiantes. Los estudiantes obtienen credenciales profesionales y técnicas en Microsoft Office Specialist, Soldadura, Técnico en Atención al Paciente</w:t>
      </w:r>
      <w:r w:rsidR="00636BCD" w:rsidRPr="00636BCD">
        <w:rPr>
          <w:rFonts w:ascii="Times New Roman" w:eastAsia="Times New Roman" w:hAnsi="Times New Roman" w:cs="Times New Roman"/>
          <w:color w:val="auto"/>
          <w:sz w:val="24"/>
          <w:szCs w:val="24"/>
        </w:rPr>
        <w:t xml:space="preserve">, </w:t>
      </w:r>
      <w:r w:rsidR="00847E2C">
        <w:rPr>
          <w:rFonts w:ascii="Times New Roman" w:hAnsi="Times New Roman" w:cs="Times New Roman"/>
          <w:color w:val="auto"/>
          <w:sz w:val="24"/>
          <w:szCs w:val="24"/>
        </w:rPr>
        <w:t>Silvicultura y Aseguramiento de la Calidad de la Carne de Vacuno.</w:t>
      </w:r>
    </w:p>
    <w:p w:rsidR="004C5424" w:rsidRDefault="004854D8">
      <w:pPr>
        <w:shd w:val="clear" w:color="auto" w:fill="FFFFFF"/>
        <w:spacing w:after="0" w:line="33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Cada programa de educación profesional y técnica dentro del Sistema Escolar del Condado de Dale se reúne dos veces al año con su consejo asesor. El consejo asesor ayuda a los profesores a mantenerse al día sobre las habilidades de los puestos de alta demanda relacionadas con cada programa.  También hacen recomendaciones sobre el equipamiento necesario para la formación y los cambios curriculares para satisfacer las necesidades locales de empresas e industria.</w:t>
      </w:r>
    </w:p>
    <w:p w:rsidR="004C5424" w:rsidRDefault="004C5424">
      <w:pPr>
        <w:shd w:val="clear" w:color="auto" w:fill="FFFFFF"/>
        <w:spacing w:after="0" w:line="331" w:lineRule="auto"/>
        <w:jc w:val="both"/>
        <w:rPr>
          <w:rFonts w:ascii="Times New Roman" w:eastAsia="Times New Roman" w:hAnsi="Times New Roman" w:cs="Times New Roman"/>
          <w:b/>
          <w:sz w:val="24"/>
          <w:szCs w:val="24"/>
        </w:rPr>
      </w:pPr>
    </w:p>
    <w:p w:rsidR="004C5424" w:rsidRDefault="004B62D8">
      <w:pPr>
        <w:shd w:val="clear" w:color="auto" w:fill="FFFFFF"/>
        <w:spacing w:after="0" w:line="33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escuelas del condado de Dale ofrecen oportunidades de doble matrícula con Enterprise State Community College, Wallace en Dothan y Troy University. Los programas incluyen Soldadura, Servicio Médico de Emergencias (EMS), Asistencia Médica, Justicia Penal, Técnico en Informática, Mecatrónica, Aviación, Técnico en Salud Mental, Desarrollo Infantil Temprano (ECD) y cursos académicos como Matemáticas, Historia, Inglés, Informática, etc. </w:t>
      </w:r>
    </w:p>
    <w:p w:rsidR="004C5424" w:rsidRDefault="004854D8">
      <w:pPr>
        <w:spacing w:before="40" w:after="0" w:line="113" w:lineRule="auto"/>
        <w:jc w:val="both"/>
        <w:rPr>
          <w:b/>
          <w:sz w:val="24"/>
          <w:szCs w:val="24"/>
        </w:rPr>
      </w:pPr>
      <w:r>
        <w:rPr>
          <w:noProof/>
        </w:rPr>
        <w:drawing>
          <wp:inline distT="114300" distB="114300" distL="114300" distR="114300">
            <wp:extent cx="190500" cy="76200"/>
            <wp:effectExtent l="0" t="0" r="0" b="0"/>
            <wp:docPr id="1"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7"/>
                    <a:srcRect/>
                    <a:stretch>
                      <a:fillRect/>
                    </a:stretch>
                  </pic:blipFill>
                  <pic:spPr>
                    <a:xfrm>
                      <a:off x="0" y="0"/>
                      <a:ext cx="190500" cy="76200"/>
                    </a:xfrm>
                    <a:prstGeom prst="rect">
                      <a:avLst/>
                    </a:prstGeom>
                    <a:ln/>
                  </pic:spPr>
                </pic:pic>
              </a:graphicData>
            </a:graphic>
          </wp:inline>
        </w:drawing>
      </w:r>
    </w:p>
    <w:p w:rsidR="004C5424" w:rsidRDefault="004854D8">
      <w:pPr>
        <w:spacing w:after="0"/>
        <w:jc w:val="both"/>
        <w:rPr>
          <w:b/>
          <w:sz w:val="24"/>
          <w:szCs w:val="24"/>
        </w:rPr>
      </w:pPr>
      <w:r>
        <w:rPr>
          <w:b/>
          <w:sz w:val="24"/>
          <w:szCs w:val="24"/>
        </w:rPr>
        <w:t>18. Sección 1112(b)(12)(B)</w:t>
      </w:r>
    </w:p>
    <w:p w:rsidR="004C5424" w:rsidRDefault="004854D8">
      <w:pPr>
        <w:spacing w:after="0"/>
        <w:jc w:val="both"/>
        <w:rPr>
          <w:rFonts w:ascii="Times New Roman" w:eastAsia="Times New Roman" w:hAnsi="Times New Roman" w:cs="Times New Roman"/>
          <w:sz w:val="24"/>
          <w:szCs w:val="24"/>
        </w:rPr>
      </w:pPr>
      <w:r>
        <w:rPr>
          <w:b/>
          <w:sz w:val="24"/>
          <w:szCs w:val="24"/>
        </w:rPr>
        <w:t>Si la agencia educativa local lo determina oportuno, describe cómo dicha agencia apoyará programas que coordinen e integren oportunidades de aprendizaje basado en el trabajo que proporcionen a los estudiantes una interacción profunda con profesionales del sector y, si corresponde, créditos académicos.</w:t>
      </w:r>
    </w:p>
    <w:p w:rsidR="004C5424" w:rsidRDefault="00636BCD" w:rsidP="00C76942">
      <w:pPr>
        <w:spacing w:before="100" w:beforeAutospacing="1" w:after="100" w:afterAutospacing="1"/>
        <w:jc w:val="both"/>
        <w:rPr>
          <w:rFonts w:ascii="Times New Roman" w:eastAsia="Times New Roman" w:hAnsi="Times New Roman" w:cs="Times New Roman"/>
          <w:sz w:val="24"/>
          <w:szCs w:val="24"/>
        </w:rPr>
      </w:pPr>
      <w:r w:rsidRPr="00636BCD">
        <w:rPr>
          <w:rFonts w:ascii="Times New Roman" w:hAnsi="Times New Roman" w:cs="Times New Roman"/>
          <w:sz w:val="24"/>
          <w:szCs w:val="24"/>
        </w:rPr>
        <w:t>Las escuelas del condado de Dale ofrecen aprendizaje basado en el trabajo (WBL) para estudiantes de penúltimo y cuarto curso. Los estudiantes participarán bajo la supervisión de un coordinador formado y recibirán un crédito académico por completar con éxito por semestre.  Se espera que el estudiante esté mejor preparado para la carrera profesional y/o la formación continua.  Los estudiantes también pueden tener la oportunidad de participar en prácticas remuneradas y no remuneradas en diversos socios industriales.</w:t>
      </w:r>
    </w:p>
    <w:p w:rsidR="004C5424" w:rsidRDefault="004854D8">
      <w:pPr>
        <w:spacing w:after="0"/>
        <w:jc w:val="both"/>
        <w:rPr>
          <w:b/>
          <w:sz w:val="24"/>
          <w:szCs w:val="24"/>
        </w:rPr>
      </w:pPr>
      <w:r>
        <w:rPr>
          <w:b/>
          <w:sz w:val="24"/>
          <w:szCs w:val="24"/>
        </w:rPr>
        <w:t>19. Sección 1112(b)(13)(A)</w:t>
      </w:r>
    </w:p>
    <w:p w:rsidR="004C5424" w:rsidRDefault="004854D8">
      <w:pPr>
        <w:spacing w:after="0"/>
        <w:jc w:val="both"/>
        <w:rPr>
          <w:b/>
          <w:sz w:val="24"/>
          <w:szCs w:val="24"/>
        </w:rPr>
      </w:pPr>
      <w:r>
        <w:rPr>
          <w:b/>
          <w:sz w:val="24"/>
          <w:szCs w:val="24"/>
        </w:rPr>
        <w:t xml:space="preserve">Describa cualquier otra información sobre cómo la agencia educativa local propone utilizar fondos para cumplir los fines de esta parte, y que la agencia educativa local considere </w:t>
      </w:r>
      <w:r>
        <w:rPr>
          <w:b/>
          <w:sz w:val="24"/>
          <w:szCs w:val="24"/>
        </w:rPr>
        <w:lastRenderedPageBreak/>
        <w:t>apropiado proporcionar, lo que puede incluir cómo la agencia educativa local ayudará a las escuelas a identificar y atender a estudiantes superdotados y talentosos.</w:t>
      </w:r>
    </w:p>
    <w:p w:rsidR="004C5424" w:rsidRDefault="004C5424">
      <w:pPr>
        <w:spacing w:after="0"/>
        <w:jc w:val="both"/>
        <w:rPr>
          <w:b/>
          <w:sz w:val="24"/>
          <w:szCs w:val="24"/>
        </w:rPr>
      </w:pPr>
    </w:p>
    <w:p w:rsidR="004C5424" w:rsidRDefault="004854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fondos del Título I pueden utilizarse para ayudar a identificar y atender a estudiantes superdotados y talentosos en situación de pobreza.</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fondos del Título II también pueden utilizarse para mejorar las habilidades de profesores, directores u otros líderes escolares, con el fin de permitirles identificar a los alumnos superdotados y talentosos, y ofrecer instrucción basada en las necesidades de dichos alumnos.</w:t>
      </w:r>
    </w:p>
    <w:p w:rsidR="004C5424" w:rsidRDefault="004854D8">
      <w:pPr>
        <w:spacing w:after="0"/>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Actualmente, el condado de Dale no utiliza fondos del Título I ni del Título II para financiar el programa para superdotados y talentosos.  Los programas para estudiantes superdotados y talentosos se financian mediante asignaciones estatales y locales.</w:t>
      </w:r>
    </w:p>
    <w:p w:rsidR="007D1F86" w:rsidRDefault="007D1F86">
      <w:pPr>
        <w:jc w:val="both"/>
        <w:rPr>
          <w:b/>
          <w:sz w:val="24"/>
          <w:szCs w:val="24"/>
        </w:rPr>
      </w:pPr>
    </w:p>
    <w:p w:rsidR="004C5424" w:rsidRDefault="00B11919">
      <w:pPr>
        <w:spacing w:after="0"/>
        <w:jc w:val="both"/>
        <w:rPr>
          <w:b/>
          <w:sz w:val="24"/>
          <w:szCs w:val="24"/>
        </w:rPr>
      </w:pPr>
      <w:r>
        <w:rPr>
          <w:b/>
          <w:sz w:val="24"/>
          <w:szCs w:val="24"/>
        </w:rPr>
        <w:t>20. Sección 1112(b)(13)(B)</w:t>
      </w:r>
    </w:p>
    <w:p w:rsidR="004C5424" w:rsidRDefault="004854D8">
      <w:pPr>
        <w:spacing w:after="0"/>
        <w:jc w:val="both"/>
        <w:rPr>
          <w:b/>
          <w:sz w:val="24"/>
          <w:szCs w:val="24"/>
        </w:rPr>
      </w:pPr>
      <w:r>
        <w:rPr>
          <w:b/>
          <w:sz w:val="24"/>
          <w:szCs w:val="24"/>
        </w:rPr>
        <w:t>Describa cualquier otra información sobre cómo la agencia educativa local propone utilizar fondos para cumplir con los fines de esta parte, y que la agencia educativa local considere oportuno proporcionar, lo que puede incluir cómo la agencia educativa local ayudará a las escuelas a desarrollar programas efectivos de biblioteca escolar para ofrecer a los estudiantes la oportunidad de desarrollar habilidades de alfabetización digital y mejorar el rendimiento académico.</w:t>
      </w:r>
    </w:p>
    <w:p w:rsidR="004C5424" w:rsidRDefault="004C5424">
      <w:pPr>
        <w:spacing w:after="0"/>
        <w:jc w:val="both"/>
        <w:rPr>
          <w:b/>
          <w:sz w:val="24"/>
          <w:szCs w:val="24"/>
        </w:rPr>
      </w:pP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Accelerated Reader y Atrium se mantienen a través de fondos de la Oficina Central y del Título I. Los libros, libros electrónicos y otros materiales de recursos se adquieren utilizando fondos locales, estatales o fondos de mejora de oficinas centrales. Con la financiación que recibimos del departamento de Estado, podemos comprar libros, alfabetización digital y cualquier tipo de recursos que un especialista en medios considere que puede promover el aprendizaje global. Estas compras las determina cada especialista en medios en función de la Evaluación de Necesidades de cada centro y del Comité de Mejora de la Biblioteca. Se apoya la colaboración entre profesores de contenidos y bibliotecarios escolares para promover la reforma escolar e identificar habilidades exitosas que permitan crear un entorno de aprendizaje del siglo XXI y oportunidades globales para todos los estudiantes.</w:t>
      </w:r>
    </w:p>
    <w:p w:rsidR="00F7675B" w:rsidRDefault="00F7675B">
      <w:pPr>
        <w:spacing w:after="0"/>
        <w:jc w:val="both"/>
        <w:rPr>
          <w:b/>
          <w:sz w:val="24"/>
          <w:szCs w:val="24"/>
        </w:rPr>
      </w:pPr>
    </w:p>
    <w:p w:rsidR="004C5424" w:rsidRDefault="00B11919">
      <w:pPr>
        <w:spacing w:after="0"/>
        <w:jc w:val="both"/>
        <w:rPr>
          <w:b/>
          <w:sz w:val="24"/>
          <w:szCs w:val="24"/>
        </w:rPr>
      </w:pPr>
      <w:r>
        <w:rPr>
          <w:b/>
          <w:sz w:val="24"/>
          <w:szCs w:val="24"/>
        </w:rPr>
        <w:t>21. Sección 1112(b)(7)</w:t>
      </w:r>
    </w:p>
    <w:p w:rsidR="004C5424" w:rsidRDefault="004854D8">
      <w:pPr>
        <w:spacing w:after="0"/>
        <w:jc w:val="both"/>
        <w:rPr>
          <w:b/>
          <w:sz w:val="24"/>
          <w:szCs w:val="24"/>
        </w:rPr>
      </w:pPr>
      <w:r>
        <w:rPr>
          <w:b/>
          <w:sz w:val="24"/>
          <w:szCs w:val="24"/>
        </w:rPr>
        <w:t>Describe la estrategia que la agencia educativa local utilizará para implementar una participación efectiva de padres y familias bajo la sección 1116. (Esta pregunta se responderá en la política escrita que aparece más abajo).</w:t>
      </w:r>
    </w:p>
    <w:p w:rsidR="00BA3091" w:rsidRDefault="00BA3091">
      <w:pPr>
        <w:spacing w:after="0"/>
        <w:jc w:val="both"/>
        <w:rPr>
          <w:b/>
          <w:sz w:val="24"/>
          <w:szCs w:val="24"/>
        </w:rPr>
      </w:pPr>
    </w:p>
    <w:p w:rsidR="004C5424" w:rsidRPr="00C76942" w:rsidRDefault="004854D8">
      <w:pPr>
        <w:jc w:val="both"/>
        <w:rPr>
          <w:b/>
          <w:i/>
          <w:sz w:val="28"/>
          <w:szCs w:val="28"/>
        </w:rPr>
      </w:pPr>
      <w:r w:rsidRPr="00C76942">
        <w:rPr>
          <w:b/>
          <w:i/>
          <w:sz w:val="28"/>
          <w:szCs w:val="28"/>
          <w:u w:val="single"/>
        </w:rPr>
        <w:t>Política Escrita de Participación de Padres y Familias</w:t>
      </w:r>
      <w:r w:rsidRPr="00C76942">
        <w:rPr>
          <w:b/>
          <w:i/>
          <w:sz w:val="28"/>
          <w:szCs w:val="28"/>
        </w:rPr>
        <w:t xml:space="preserve"> (Sección 1116 (2))</w:t>
      </w:r>
    </w:p>
    <w:p w:rsidR="004C5424" w:rsidRDefault="004854D8">
      <w:pPr>
        <w:spacing w:after="0"/>
        <w:jc w:val="both"/>
        <w:rPr>
          <w:b/>
          <w:sz w:val="24"/>
          <w:szCs w:val="24"/>
        </w:rPr>
      </w:pPr>
      <w:r>
        <w:rPr>
          <w:b/>
          <w:sz w:val="24"/>
          <w:szCs w:val="24"/>
        </w:rPr>
        <w:lastRenderedPageBreak/>
        <w:t>Sección 1116(a)(2)(A))</w:t>
      </w:r>
    </w:p>
    <w:p w:rsidR="004C5424" w:rsidRDefault="004854D8">
      <w:pPr>
        <w:numPr>
          <w:ilvl w:val="0"/>
          <w:numId w:val="4"/>
        </w:numPr>
        <w:spacing w:after="0"/>
        <w:contextualSpacing/>
        <w:jc w:val="both"/>
        <w:rPr>
          <w:b/>
          <w:sz w:val="24"/>
          <w:szCs w:val="24"/>
        </w:rPr>
      </w:pPr>
      <w:r>
        <w:rPr>
          <w:b/>
          <w:sz w:val="24"/>
          <w:szCs w:val="24"/>
        </w:rPr>
        <w:t>Describe cómo la Educación Local implicará a padres y familiares en el desarrollo conjunto del plan de la agencia educativa local bajo la sección 1112, y en el desarrollo de planes de apoyo y mejora bajo los párrafos (1) y (2) de la sección 1111(d).</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Sistema Escolar del Condado de Dale celebrará reuniones a nivel de sistema para asegurar la participación de los padres en el desarrollo de la política/plan del sistema. Las reuniones se celebrarán en diferentes horarios durante el día y la noche en seis escuelas Title I: Ariton School, G. W. Long Elementary School, Dale County High School, Southdale Middle School, Midland City Elementary School y Newton Elementary School para fomentar la participación. El Sistema Escolar del Condado de Dale implicará a padres y familiares en el desarrollo conjunto del plan de la agencia local </w:t>
      </w:r>
      <w:proofErr w:type="spellStart"/>
      <w:r>
        <w:rPr>
          <w:rFonts w:ascii="Times New Roman" w:eastAsia="Times New Roman" w:hAnsi="Times New Roman" w:cs="Times New Roman"/>
          <w:sz w:val="24"/>
          <w:szCs w:val="24"/>
        </w:rPr>
        <w:t>mediante</w:t>
      </w:r>
      <w:proofErr w:type="spellEnd"/>
      <w:r>
        <w:rPr>
          <w:rFonts w:ascii="Times New Roman" w:eastAsia="Times New Roman" w:hAnsi="Times New Roman" w:cs="Times New Roman"/>
          <w:sz w:val="24"/>
          <w:szCs w:val="24"/>
        </w:rPr>
        <w:t xml:space="preserve"> lo </w:t>
      </w:r>
      <w:proofErr w:type="spellStart"/>
      <w:r>
        <w:rPr>
          <w:rFonts w:ascii="Times New Roman" w:eastAsia="Times New Roman" w:hAnsi="Times New Roman" w:cs="Times New Roman"/>
          <w:sz w:val="24"/>
          <w:szCs w:val="24"/>
        </w:rPr>
        <w:t>siguiente</w:t>
      </w:r>
      <w:proofErr w:type="spellEnd"/>
      <w:r>
        <w:rPr>
          <w:rFonts w:ascii="Times New Roman" w:eastAsia="Times New Roman" w:hAnsi="Times New Roman" w:cs="Times New Roman"/>
          <w:sz w:val="24"/>
          <w:szCs w:val="24"/>
        </w:rPr>
        <w:t>:</w:t>
      </w:r>
    </w:p>
    <w:p w:rsidR="00F42604" w:rsidRPr="00F42604" w:rsidRDefault="00F42604" w:rsidP="00F42604">
      <w:pPr>
        <w:pStyle w:val="ListParagraph"/>
        <w:numPr>
          <w:ilvl w:val="1"/>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Difundir boletines escolares y otra información de responsabilidad de manera oportuna;</w:t>
      </w:r>
    </w:p>
    <w:p w:rsidR="00F42604" w:rsidRPr="00F42604" w:rsidRDefault="00F42604" w:rsidP="00F42604">
      <w:pPr>
        <w:pStyle w:val="ListParagraph"/>
        <w:numPr>
          <w:ilvl w:val="1"/>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Responder a las consultas de los padres sobre el progreso de su escuela y de su hijo de manera oportuna;</w:t>
      </w:r>
    </w:p>
    <w:p w:rsidR="00F42604" w:rsidRPr="00F42604" w:rsidRDefault="00F42604" w:rsidP="00F42604">
      <w:pPr>
        <w:pStyle w:val="ListParagraph"/>
        <w:numPr>
          <w:ilvl w:val="1"/>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Incluir a los padres en comités asesores;</w:t>
      </w:r>
    </w:p>
    <w:p w:rsidR="00F42604" w:rsidRPr="00F42604" w:rsidRDefault="00F42604" w:rsidP="00F42604">
      <w:pPr>
        <w:pStyle w:val="ListParagraph"/>
        <w:numPr>
          <w:ilvl w:val="1"/>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 xml:space="preserve">Establecer procedimientos para la revisión y comentario de los padres sobre la implementación del Plan Título I a nivel escolar.  </w:t>
      </w:r>
    </w:p>
    <w:p w:rsidR="004C5424" w:rsidRDefault="004C5424">
      <w:pPr>
        <w:spacing w:after="0"/>
        <w:jc w:val="both"/>
        <w:rPr>
          <w:b/>
          <w:sz w:val="24"/>
          <w:szCs w:val="24"/>
        </w:rPr>
      </w:pPr>
    </w:p>
    <w:p w:rsidR="00733A48" w:rsidRDefault="004854D8" w:rsidP="00C76942">
      <w:pPr>
        <w:spacing w:after="0"/>
        <w:jc w:val="both"/>
        <w:rPr>
          <w:b/>
          <w:sz w:val="24"/>
          <w:szCs w:val="24"/>
        </w:rPr>
      </w:pPr>
      <w:r>
        <w:rPr>
          <w:b/>
          <w:sz w:val="24"/>
          <w:szCs w:val="24"/>
        </w:rPr>
        <w:t xml:space="preserve">Sección 1116(a)(2)(B)) </w:t>
      </w:r>
    </w:p>
    <w:p w:rsidR="00733A48" w:rsidRDefault="00733A48" w:rsidP="00C76942">
      <w:pPr>
        <w:spacing w:after="0"/>
        <w:jc w:val="both"/>
        <w:rPr>
          <w:b/>
          <w:sz w:val="24"/>
          <w:szCs w:val="24"/>
        </w:rPr>
      </w:pPr>
    </w:p>
    <w:p w:rsidR="004C5424" w:rsidRDefault="00733A48" w:rsidP="00733A48">
      <w:pPr>
        <w:spacing w:after="0"/>
        <w:ind w:left="720"/>
        <w:jc w:val="both"/>
        <w:rPr>
          <w:b/>
          <w:sz w:val="24"/>
          <w:szCs w:val="24"/>
        </w:rPr>
      </w:pPr>
      <w:r>
        <w:rPr>
          <w:b/>
          <w:sz w:val="24"/>
          <w:szCs w:val="24"/>
        </w:rPr>
        <w:t>B. Describir cómo la Agencia Local de Educación proporcionará la coordinación, asistencia técnica y otros apoyos necesarios para ayudar y fortalecer la capacidad de todas las escuelas participantes dentro de la agencia educativa local en la planificación e implementación de actividades efectivas de participación de padres y familias para mejorar el rendimiento académico y el rendimiento escolar de los estudiantes, lo que puede incluir una consulta significativa con los empleadores,  líderes empresariales y organizaciones filantrópicas, o personas con experiencia en involucrar eficazmente a padres y familiares en la educación.</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Sistema Escolar del Condado de Dale, con la colaboración del Consejo Asesor de Padres, desarrollará un Plan de Participación de los Padres a nivel de sistema que sirva como guía para las actividades a nivel de sistema y escuela.  El sistema también: </w:t>
      </w:r>
    </w:p>
    <w:p w:rsidR="00F42604" w:rsidRPr="00F42604" w:rsidRDefault="00F42604" w:rsidP="00F42604">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 xml:space="preserve">Proporcionar recursos para el desarrollo profesional relacionados con la participación efectiva de los padres para profesores, administradores y representantes de padres seleccionados; </w:t>
      </w:r>
    </w:p>
    <w:p w:rsidR="00F42604" w:rsidRPr="00F42604" w:rsidRDefault="00F42604" w:rsidP="00F42604">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Programar revisiones periódicas de la implementación del Plan de Participación Parental y proporcionar colaboración y asistencia técnica al comité de participación de padres a nivel escolar;</w:t>
      </w:r>
    </w:p>
    <w:p w:rsidR="00F42604" w:rsidRPr="00F42604" w:rsidRDefault="00F42604" w:rsidP="00F42604">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lastRenderedPageBreak/>
        <w:t xml:space="preserve">Asegurar que al menos el 90% del mínimo del 1% de la financiación del Título I de cada año fiscal se asigne a las escuelas participantes en el Título I para apoyar actividades de participación parental a nivel escolar.  </w:t>
      </w:r>
    </w:p>
    <w:p w:rsidR="004C5424" w:rsidRDefault="004C5424">
      <w:pPr>
        <w:spacing w:after="0"/>
        <w:ind w:left="720"/>
        <w:jc w:val="both"/>
        <w:rPr>
          <w:b/>
          <w:sz w:val="24"/>
          <w:szCs w:val="24"/>
        </w:rPr>
      </w:pPr>
    </w:p>
    <w:p w:rsidR="004C5424" w:rsidRDefault="004854D8">
      <w:pPr>
        <w:spacing w:after="0"/>
        <w:jc w:val="both"/>
        <w:rPr>
          <w:b/>
          <w:sz w:val="24"/>
          <w:szCs w:val="24"/>
        </w:rPr>
      </w:pPr>
      <w:r>
        <w:rPr>
          <w:b/>
          <w:sz w:val="24"/>
          <w:szCs w:val="24"/>
        </w:rPr>
        <w:t>Sección 1116(a)(2)(C))</w:t>
      </w:r>
    </w:p>
    <w:p w:rsidR="004C5424" w:rsidRDefault="00733A48" w:rsidP="00733A48">
      <w:pPr>
        <w:spacing w:after="0"/>
        <w:ind w:left="630"/>
        <w:contextualSpacing/>
        <w:jc w:val="both"/>
        <w:rPr>
          <w:sz w:val="24"/>
          <w:szCs w:val="24"/>
        </w:rPr>
      </w:pPr>
      <w:r>
        <w:rPr>
          <w:b/>
          <w:sz w:val="24"/>
          <w:szCs w:val="24"/>
        </w:rPr>
        <w:t>C. Describe cómo la Agencia Local de Educación coordinará e integrará las estrategias de participación de padres y familias en esta parte con las estrategias de participación de padres y familias, en la medida de lo posible y apropiado, con otras leyes y programas federales, estatales y locales relevantes.</w:t>
      </w:r>
    </w:p>
    <w:p w:rsidR="004C5424" w:rsidRDefault="004C5424">
      <w:pPr>
        <w:spacing w:after="0"/>
        <w:ind w:left="720"/>
        <w:jc w:val="both"/>
        <w:rPr>
          <w:sz w:val="24"/>
          <w:szCs w:val="24"/>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Sistema Escolar del Condado de Dale coordinará e integrará las estrategias de participación de padres y familias en la Parte A con estrategias de participación parental mediante:</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Reuniones anuales del Título I</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Reuniones del Consejo Asesor de Padres (a nivel de distrito y escuela)</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Actividades de Visita a los Padres</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Reuniones de padres y profesores</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Reuniones de la PTO</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Boletín</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Sitio web del distrito/escuela</w:t>
      </w:r>
    </w:p>
    <w:p w:rsidR="003D0E3D" w:rsidRDefault="003D0E3D">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Calendario de distritos </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Reparto escolar</w:t>
      </w:r>
    </w:p>
    <w:p w:rsidR="007A6FFD" w:rsidRDefault="00377175">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PARENT Sguare (Nivel de distrito y escolar)</w:t>
      </w:r>
    </w:p>
    <w:p w:rsidR="004C5424" w:rsidRDefault="004C5424">
      <w:pPr>
        <w:spacing w:after="0"/>
        <w:ind w:left="720"/>
        <w:jc w:val="both"/>
        <w:rPr>
          <w:sz w:val="24"/>
          <w:szCs w:val="24"/>
        </w:rPr>
      </w:pPr>
    </w:p>
    <w:p w:rsidR="00C76942" w:rsidRDefault="00C76942">
      <w:pPr>
        <w:spacing w:after="0"/>
        <w:jc w:val="both"/>
        <w:rPr>
          <w:b/>
          <w:sz w:val="24"/>
          <w:szCs w:val="24"/>
        </w:rPr>
      </w:pPr>
    </w:p>
    <w:p w:rsidR="004C5424" w:rsidRDefault="004854D8">
      <w:pPr>
        <w:spacing w:after="0"/>
        <w:jc w:val="both"/>
        <w:rPr>
          <w:b/>
          <w:sz w:val="24"/>
          <w:szCs w:val="24"/>
        </w:rPr>
      </w:pPr>
      <w:r>
        <w:rPr>
          <w:b/>
          <w:sz w:val="24"/>
          <w:szCs w:val="24"/>
        </w:rPr>
        <w:t>Sección 1116(a)(2)(D))</w:t>
      </w:r>
    </w:p>
    <w:p w:rsidR="004C5424" w:rsidRDefault="00733A48" w:rsidP="00733A48">
      <w:pPr>
        <w:spacing w:after="0"/>
        <w:ind w:left="630"/>
        <w:contextualSpacing/>
        <w:jc w:val="both"/>
        <w:rPr>
          <w:b/>
          <w:sz w:val="24"/>
          <w:szCs w:val="24"/>
        </w:rPr>
      </w:pPr>
      <w:r>
        <w:rPr>
          <w:b/>
          <w:sz w:val="24"/>
          <w:szCs w:val="24"/>
        </w:rPr>
        <w:t>D. Describe cómo la Agencia Local de Educación llevará a cabo, con la participación significativa de padres y familiares, una evaluación anual del contenido y la eficacia de la política de participación de padres y familias para mejorar la calidad académica de todos los colegios atendidos bajo esta parte, incluyendo la identificación—</w:t>
      </w:r>
    </w:p>
    <w:p w:rsidR="004C5424" w:rsidRPr="006C1D15" w:rsidRDefault="006C1D15" w:rsidP="006C1D15">
      <w:pPr>
        <w:pStyle w:val="ListParagraph"/>
        <w:numPr>
          <w:ilvl w:val="0"/>
          <w:numId w:val="34"/>
        </w:numPr>
        <w:spacing w:after="0"/>
        <w:jc w:val="both"/>
        <w:rPr>
          <w:b/>
          <w:sz w:val="24"/>
          <w:szCs w:val="24"/>
        </w:rPr>
      </w:pPr>
      <w:r>
        <w:rPr>
          <w:b/>
          <w:sz w:val="24"/>
          <w:szCs w:val="24"/>
        </w:rPr>
        <w:t xml:space="preserve">        barreras para una mayor participación de los padres en actividades autorizadas por esta sección (con especial atención a padres que están económicamente desfavorecidos, tienen discapacidad, tienen un dominio limitado del inglés, tienen limitada alfabetización o son de cualquier origen racial o étnico minoritario)</w:t>
      </w:r>
    </w:p>
    <w:p w:rsidR="004C5424" w:rsidRDefault="004C5424">
      <w:pPr>
        <w:spacing w:after="0"/>
        <w:ind w:left="180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Cada primavera, todos los padres tienen la oportunidad de participar en la Encuesta Comunitaria Título I del Condado de Dale.  Estas encuestas buscan opiniones sobre actividades, formación y oportunidades que se ofrecen a padres y estudiantes.  La distribución y recopilación de estas encuestas será responsabilidad del director y del enlace familiar del distrito. Los resultados de las encuestas son recopilados por el Enlace Familiar y distribuidos a los administradores y directores del distrito para su revisión por parte de los comités escolares ACIP y Asesores de Padres, con el fin de determinar los cambios necesarios.  Cada año, todos los Planes de Mejora Continua y el </w:t>
      </w:r>
      <w:r>
        <w:rPr>
          <w:rFonts w:ascii="Times New Roman" w:eastAsia="Times New Roman" w:hAnsi="Times New Roman" w:cs="Times New Roman"/>
          <w:sz w:val="24"/>
          <w:szCs w:val="24"/>
        </w:rPr>
        <w:lastRenderedPageBreak/>
        <w:t xml:space="preserve">Plan de Participación de los Padres de todas las escuelas del Título I se revisan y evalúan para comprobar su eficacia. Se desarrollan e implementan estrategias de mejora. </w:t>
      </w:r>
    </w:p>
    <w:p w:rsidR="00C76942" w:rsidRDefault="00C76942">
      <w:pPr>
        <w:spacing w:after="0"/>
        <w:jc w:val="both"/>
        <w:rPr>
          <w:rFonts w:ascii="Times New Roman" w:eastAsia="Times New Roman" w:hAnsi="Times New Roman" w:cs="Times New Roman"/>
          <w:sz w:val="24"/>
          <w:szCs w:val="24"/>
        </w:rPr>
      </w:pPr>
    </w:p>
    <w:p w:rsidR="004C5424" w:rsidRPr="006C1D15" w:rsidRDefault="004854D8" w:rsidP="006C1D15">
      <w:pPr>
        <w:pStyle w:val="ListParagraph"/>
        <w:numPr>
          <w:ilvl w:val="0"/>
          <w:numId w:val="34"/>
        </w:numPr>
        <w:spacing w:after="0"/>
        <w:jc w:val="both"/>
        <w:rPr>
          <w:b/>
          <w:sz w:val="24"/>
          <w:szCs w:val="24"/>
        </w:rPr>
      </w:pPr>
      <w:r w:rsidRPr="006C1D15">
        <w:rPr>
          <w:b/>
          <w:sz w:val="24"/>
          <w:szCs w:val="24"/>
        </w:rPr>
        <w:t>las necesidades de los padres y familiares para ayudar en el aprendizaje de sus hijos, incluyendo la colaboración con el personal escolar y los profesores.</w:t>
      </w:r>
    </w:p>
    <w:p w:rsidR="004C5424" w:rsidRDefault="004C5424">
      <w:pPr>
        <w:spacing w:after="0"/>
        <w:jc w:val="both"/>
        <w:rPr>
          <w:b/>
          <w:sz w:val="24"/>
          <w:szCs w:val="24"/>
        </w:rPr>
      </w:pPr>
    </w:p>
    <w:p w:rsidR="004C5424" w:rsidRDefault="004854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Las necesidades de los padres y familiares para ayudar en el aprendizaje de sus hijos serán atendidas por lo siguiente:</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Boletines</w:t>
      </w: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Carpetas semanales</w:t>
      </w: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Pactos de Hogar/Escuela (revisados anualmente) </w:t>
      </w: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Materiales de orientación para estudiantes que ingresan en infantil y séptimo y noveno curso</w:t>
      </w: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Enlaces en las páginas web del distrito y de los centros</w:t>
      </w:r>
    </w:p>
    <w:p w:rsidR="00733A48" w:rsidRDefault="00733A48" w:rsidP="00733A48">
      <w:pPr>
        <w:spacing w:after="0" w:line="240" w:lineRule="auto"/>
        <w:ind w:left="720"/>
        <w:contextualSpacing/>
        <w:rPr>
          <w:rFonts w:ascii="Times New Roman" w:eastAsia="Times New Roman" w:hAnsi="Times New Roman" w:cs="Times New Roman"/>
          <w:sz w:val="24"/>
          <w:szCs w:val="24"/>
        </w:rPr>
      </w:pPr>
    </w:p>
    <w:p w:rsidR="004C5424" w:rsidRDefault="004854D8" w:rsidP="006C1D15">
      <w:pPr>
        <w:numPr>
          <w:ilvl w:val="0"/>
          <w:numId w:val="34"/>
        </w:numPr>
        <w:spacing w:after="0"/>
        <w:contextualSpacing/>
        <w:jc w:val="both"/>
        <w:rPr>
          <w:b/>
          <w:sz w:val="24"/>
          <w:szCs w:val="24"/>
        </w:rPr>
      </w:pPr>
      <w:r>
        <w:rPr>
          <w:b/>
          <w:sz w:val="24"/>
          <w:szCs w:val="24"/>
        </w:rPr>
        <w:t>estrategias para apoyar el éxito en la escuela y las interacciones familiares.</w:t>
      </w:r>
    </w:p>
    <w:p w:rsidR="004C5424" w:rsidRDefault="004C5424">
      <w:pPr>
        <w:spacing w:after="0"/>
        <w:ind w:left="1080"/>
        <w:jc w:val="both"/>
        <w:rPr>
          <w:rFonts w:ascii="Times New Roman" w:eastAsia="Times New Roman" w:hAnsi="Times New Roman" w:cs="Times New Roman"/>
          <w:b/>
          <w:sz w:val="24"/>
          <w:szCs w:val="24"/>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 estrategias para apoyar la interacción exitosa en la escuela y la familia incluirán lo siguiente:</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Enlaces a sitios web para la participación de los padres</w:t>
      </w:r>
    </w:p>
    <w:p w:rsidR="004C5424" w:rsidRDefault="007D1F86">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Formación en formación para profesores centrada en estrategias de interacción entre la escuela y la familia</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Contacto con el padre en sitios alternativos</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Boletines</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Utilizando recursos del Departamento de Educación de Alabama</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PTO</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Contactar con padres de difícil acceso en lugares alternativos como estadios, iglesias y zonas de la comunidad local.</w:t>
      </w:r>
    </w:p>
    <w:p w:rsidR="0012296A" w:rsidRDefault="0012296A">
      <w:pPr>
        <w:jc w:val="both"/>
        <w:rPr>
          <w:b/>
          <w:sz w:val="24"/>
          <w:szCs w:val="24"/>
        </w:rPr>
      </w:pPr>
    </w:p>
    <w:p w:rsidR="004C5424" w:rsidRDefault="004854D8">
      <w:pPr>
        <w:spacing w:after="0"/>
        <w:jc w:val="both"/>
        <w:rPr>
          <w:b/>
          <w:sz w:val="24"/>
          <w:szCs w:val="24"/>
        </w:rPr>
      </w:pPr>
      <w:r>
        <w:rPr>
          <w:b/>
          <w:sz w:val="24"/>
          <w:szCs w:val="24"/>
        </w:rPr>
        <w:t>Sección 1116(a)(2)(E)</w:t>
      </w:r>
    </w:p>
    <w:p w:rsidR="004C5424" w:rsidRDefault="00713EBB" w:rsidP="00733A48">
      <w:pPr>
        <w:spacing w:after="0"/>
        <w:ind w:left="630"/>
        <w:contextualSpacing/>
        <w:jc w:val="both"/>
        <w:rPr>
          <w:b/>
          <w:sz w:val="24"/>
          <w:szCs w:val="24"/>
        </w:rPr>
      </w:pPr>
      <w:r>
        <w:rPr>
          <w:b/>
          <w:sz w:val="24"/>
          <w:szCs w:val="24"/>
        </w:rPr>
        <w:t>G. Describe cómo la Agencia Local de Educación utilizará los hallazgos de dicha evaluación descritos en la sección anterior (Sección 1116(2)(D)) para diseñar estrategias basadas en la evidencia que permitan una implicación parental más eficaz y, si es necesario, revisar las políticas de participación de padres y familias descritas en esta sección.</w:t>
      </w:r>
    </w:p>
    <w:p w:rsidR="004C5424" w:rsidRDefault="004C5424">
      <w:pPr>
        <w:spacing w:after="0"/>
        <w:ind w:left="720"/>
        <w:jc w:val="both"/>
        <w:rPr>
          <w:b/>
          <w:sz w:val="24"/>
          <w:szCs w:val="24"/>
        </w:rPr>
      </w:pPr>
    </w:p>
    <w:p w:rsidR="004C5424" w:rsidRDefault="004854D8">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El Sistema Escolar del Condado de Dale utilizará los resultados de la evaluación y las sugerencias del Consejo Asesor de Padres sobre el Plan de Participación de los Padres para diseñar estrategias que permitan una implicación parental más eficaz y revisar, si es necesario, el plan.  Se pondrá especial atención en identificar y eliminar las barreras para una mayor participación de los padres.</w:t>
      </w:r>
    </w:p>
    <w:p w:rsidR="004C5424" w:rsidRDefault="004C5424">
      <w:pPr>
        <w:jc w:val="both"/>
        <w:rPr>
          <w:b/>
          <w:sz w:val="24"/>
          <w:szCs w:val="24"/>
        </w:rPr>
      </w:pPr>
    </w:p>
    <w:p w:rsidR="004C5424" w:rsidRDefault="004854D8">
      <w:pPr>
        <w:spacing w:after="0"/>
        <w:jc w:val="both"/>
        <w:rPr>
          <w:b/>
          <w:sz w:val="24"/>
          <w:szCs w:val="24"/>
        </w:rPr>
      </w:pPr>
      <w:r>
        <w:rPr>
          <w:b/>
          <w:sz w:val="24"/>
          <w:szCs w:val="24"/>
        </w:rPr>
        <w:lastRenderedPageBreak/>
        <w:t>Sección 1116(a)(2)(F))</w:t>
      </w:r>
    </w:p>
    <w:p w:rsidR="004C5424" w:rsidRDefault="00713EBB" w:rsidP="00024BD3">
      <w:pPr>
        <w:spacing w:after="0"/>
        <w:ind w:left="360"/>
        <w:contextualSpacing/>
        <w:jc w:val="both"/>
        <w:rPr>
          <w:b/>
          <w:sz w:val="24"/>
          <w:szCs w:val="24"/>
        </w:rPr>
      </w:pPr>
      <w:r>
        <w:rPr>
          <w:b/>
          <w:sz w:val="24"/>
          <w:szCs w:val="24"/>
        </w:rPr>
        <w:t>H.  Describe cómo la Agencia Local de Educación involucrará a los padres en las actividades de las escuelas atendidas bajo esta parte, lo que puede incluir la creación de un consejo asesor de padres compuesto por un número suficiente y un grupo representativo de padres o familiares atendidos por la agencia educativa local para representar adecuadamente las necesidades de la población atendida por dicha agencia con el fin de desarrollar,  revisando y revisando la política de participación de padres y familias.</w:t>
      </w:r>
    </w:p>
    <w:p w:rsidR="004C5424" w:rsidRDefault="004C5424">
      <w:pPr>
        <w:spacing w:after="0"/>
        <w:ind w:left="72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Sistema Escolar del Condado de Dale celebrará reuniones del Consejo Asesor de Padres a nivel de distrito y de escuela para obtener la participación de los padres en el desarrollo y revisión del Plan de Participación Parental. Las reuniones se celebrarán en diferentes horarios durante el día y la noche en las Escuelas Title I para adaptarse a los horarios de trabajo de los distintos padres o tutores.</w:t>
      </w:r>
    </w:p>
    <w:p w:rsidR="004C5424" w:rsidRDefault="004C5424">
      <w:pPr>
        <w:spacing w:after="0" w:line="240" w:lineRule="auto"/>
        <w:jc w:val="both"/>
        <w:rPr>
          <w:rFonts w:ascii="Times New Roman" w:eastAsia="Times New Roman" w:hAnsi="Times New Roman" w:cs="Times New Roman"/>
          <w:sz w:val="24"/>
          <w:szCs w:val="24"/>
        </w:rPr>
      </w:pPr>
    </w:p>
    <w:p w:rsidR="004C5424" w:rsidRDefault="004854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temas tratados en las reuniones incluirán los siguientes:</w:t>
      </w:r>
    </w:p>
    <w:p w:rsidR="00733A48" w:rsidRDefault="004854D8" w:rsidP="004F3CAA">
      <w:pPr>
        <w:numPr>
          <w:ilvl w:val="0"/>
          <w:numId w:val="5"/>
        </w:numPr>
        <w:spacing w:after="0" w:line="240" w:lineRule="auto"/>
        <w:contextualSpacing/>
        <w:jc w:val="both"/>
        <w:rPr>
          <w:rFonts w:ascii="Times New Roman" w:eastAsia="Times New Roman" w:hAnsi="Times New Roman" w:cs="Times New Roman"/>
          <w:sz w:val="24"/>
          <w:szCs w:val="24"/>
        </w:rPr>
      </w:pPr>
      <w:r w:rsidRPr="00733A48">
        <w:rPr>
          <w:rFonts w:ascii="Times New Roman" w:eastAsia="Times New Roman" w:hAnsi="Times New Roman" w:cs="Times New Roman"/>
          <w:sz w:val="24"/>
          <w:szCs w:val="24"/>
        </w:rPr>
        <w:t>Servicios del Título I y derechos de los padres</w:t>
      </w:r>
    </w:p>
    <w:p w:rsidR="00A90318" w:rsidRPr="00733A48" w:rsidRDefault="00A90318" w:rsidP="004F3CAA">
      <w:pPr>
        <w:numPr>
          <w:ilvl w:val="0"/>
          <w:numId w:val="5"/>
        </w:numPr>
        <w:spacing w:after="0" w:line="240" w:lineRule="auto"/>
        <w:contextualSpacing/>
        <w:jc w:val="both"/>
        <w:rPr>
          <w:rFonts w:ascii="Times New Roman" w:eastAsia="Times New Roman" w:hAnsi="Times New Roman" w:cs="Times New Roman"/>
          <w:sz w:val="24"/>
          <w:szCs w:val="24"/>
        </w:rPr>
      </w:pPr>
      <w:r w:rsidRPr="00733A48">
        <w:rPr>
          <w:rFonts w:ascii="Times New Roman" w:eastAsia="Times New Roman" w:hAnsi="Times New Roman" w:cs="Times New Roman"/>
          <w:sz w:val="24"/>
          <w:szCs w:val="24"/>
        </w:rPr>
        <w:t xml:space="preserve">Qué significa ser una escuela Title I </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Currículo y estándares estatales de contenido</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Programa y calendario de Evaluación Estatal de Estudiantes</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 de Participación de los Padres</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Encuesta del Título I</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Oportunidades en Tecnología Profesional</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Libros de texto</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Tecnología</w:t>
      </w:r>
    </w:p>
    <w:p w:rsidR="006C1D15" w:rsidRDefault="006C1D15" w:rsidP="006C1D15">
      <w:pPr>
        <w:spacing w:after="0" w:line="240" w:lineRule="auto"/>
        <w:contextualSpacing/>
        <w:jc w:val="both"/>
        <w:rPr>
          <w:rFonts w:ascii="Times New Roman" w:eastAsia="Times New Roman" w:hAnsi="Times New Roman" w:cs="Times New Roman"/>
          <w:sz w:val="24"/>
          <w:szCs w:val="24"/>
        </w:rPr>
      </w:pPr>
    </w:p>
    <w:p w:rsidR="006C1D15" w:rsidRPr="006C1D15" w:rsidRDefault="006C1D15" w:rsidP="006C1D15">
      <w:pPr>
        <w:spacing w:after="0" w:line="240" w:lineRule="auto"/>
        <w:contextualSpacing/>
        <w:jc w:val="both"/>
        <w:rPr>
          <w:rFonts w:ascii="Times New Roman" w:eastAsia="Times New Roman" w:hAnsi="Times New Roman" w:cs="Times New Roman"/>
          <w:b/>
          <w:sz w:val="24"/>
          <w:szCs w:val="24"/>
        </w:rPr>
      </w:pPr>
      <w:r w:rsidRPr="006C1D15">
        <w:rPr>
          <w:rFonts w:ascii="Times New Roman" w:eastAsia="Times New Roman" w:hAnsi="Times New Roman" w:cs="Times New Roman"/>
          <w:b/>
          <w:sz w:val="24"/>
          <w:szCs w:val="24"/>
        </w:rPr>
        <w:t>SECCIÓN 1116(e)</w:t>
      </w:r>
    </w:p>
    <w:p w:rsidR="00A90318" w:rsidRPr="006C1D15" w:rsidRDefault="006C1D15" w:rsidP="00A90318">
      <w:pPr>
        <w:spacing w:after="0" w:line="240" w:lineRule="auto"/>
        <w:ind w:left="720"/>
        <w:contextualSpacing/>
        <w:jc w:val="both"/>
        <w:rPr>
          <w:rFonts w:ascii="Times New Roman" w:eastAsia="Times New Roman" w:hAnsi="Times New Roman" w:cs="Times New Roman"/>
          <w:b/>
          <w:sz w:val="24"/>
          <w:szCs w:val="24"/>
        </w:rPr>
      </w:pPr>
      <w:r w:rsidRPr="006C1D15">
        <w:rPr>
          <w:rFonts w:ascii="Segoe UI" w:hAnsi="Segoe UI" w:cs="Segoe UI"/>
          <w:b/>
          <w:sz w:val="20"/>
          <w:szCs w:val="20"/>
          <w:shd w:val="clear" w:color="auto" w:fill="E1E7EF"/>
        </w:rPr>
        <w:t>Para fortalecer la capacidad de participación de padres y familias, la agencia educativa local garantizará la participación efectiva de los padres y apoyará una colaboración entre la escuela implicada, los padres y la comunidad para mejorar el rendimiento académico de los estudiantes; la agencia educativa local deberá:</w:t>
      </w:r>
    </w:p>
    <w:p w:rsidR="004C5424" w:rsidRDefault="006C1D15" w:rsidP="00024BD3">
      <w:pPr>
        <w:spacing w:after="0"/>
        <w:ind w:left="450"/>
        <w:contextualSpacing/>
        <w:jc w:val="both"/>
        <w:rPr>
          <w:b/>
          <w:sz w:val="24"/>
          <w:szCs w:val="24"/>
        </w:rPr>
      </w:pPr>
      <w:r>
        <w:rPr>
          <w:b/>
          <w:sz w:val="24"/>
          <w:szCs w:val="24"/>
        </w:rPr>
        <w:t>I. Describe cómo proporcionará asistencia a los padres de niños atendidos por la escuela o la agencia educativa local, según corresponda, para comprender temas como los exigentes estándares académicos estatales, las evaluaciones académicas estatales y locales, los requisitos de esta parte y cómo supervisar el progreso de un niño y trabajar con los educadores para mejorar el rendimiento de sus hijos.</w:t>
      </w:r>
    </w:p>
    <w:p w:rsidR="004C5424" w:rsidRDefault="004C5424">
      <w:pPr>
        <w:spacing w:after="0"/>
        <w:ind w:left="1080"/>
        <w:jc w:val="both"/>
        <w:rPr>
          <w:sz w:val="24"/>
          <w:szCs w:val="24"/>
        </w:rPr>
      </w:pPr>
    </w:p>
    <w:p w:rsidR="004C5424" w:rsidRDefault="004854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El Sistema Escolar del Condado de Dale proporcionará ayuda a los padres de los niños atendidos en nuestras escuelas para comprender temas como los siguientes:</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Normas estatales de contenido académico</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Estándares estatales de rendimiento académico de los estudiantes</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Evaluaciones académicas estatales y locales y evaluaciones alternativas</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Los requisitos del Título I, Parte A</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Cómo supervisar el progreso de su hijo</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Cómo trabajar con educadores</w:t>
      </w:r>
    </w:p>
    <w:p w:rsidR="004C5424" w:rsidRDefault="004C5424">
      <w:pPr>
        <w:spacing w:after="0" w:line="240" w:lineRule="auto"/>
        <w:rPr>
          <w:rFonts w:ascii="Times New Roman" w:eastAsia="Times New Roman" w:hAnsi="Times New Roman" w:cs="Times New Roman"/>
          <w:sz w:val="24"/>
          <w:szCs w:val="24"/>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Esto se logrará de la siguiente manera:</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Reunión anual del Título I</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Consejo Asesor de Padres</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Reuniones de la PTO</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Boletines</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Sitios web del distrito/escuela</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Reuniones de padres y profesores</w:t>
      </w:r>
    </w:p>
    <w:p w:rsidR="004C5424" w:rsidRDefault="004C5424">
      <w:pPr>
        <w:jc w:val="both"/>
        <w:rPr>
          <w:b/>
          <w:sz w:val="24"/>
          <w:szCs w:val="24"/>
        </w:rPr>
      </w:pPr>
    </w:p>
    <w:p w:rsidR="004C5424" w:rsidRDefault="006C1D15" w:rsidP="00024BD3">
      <w:pPr>
        <w:spacing w:after="0"/>
        <w:ind w:left="360"/>
        <w:contextualSpacing/>
        <w:jc w:val="both"/>
        <w:rPr>
          <w:b/>
          <w:sz w:val="24"/>
          <w:szCs w:val="24"/>
        </w:rPr>
      </w:pPr>
      <w:r>
        <w:rPr>
          <w:b/>
          <w:sz w:val="24"/>
          <w:szCs w:val="24"/>
        </w:rPr>
        <w:t>J.  Describe cómo proporcionará materiales y formación para ayudar a los padres a trabajar con sus hijos para mejorar su rendimiento, como la formación en alfabetización y el uso de tecnología (incluida la educación sobre los daños de la piratería de derechos de autor), según corresponda, para fomentar la participación parental.</w:t>
      </w:r>
    </w:p>
    <w:p w:rsidR="004C5424" w:rsidRDefault="004C5424">
      <w:pPr>
        <w:spacing w:after="0"/>
        <w:ind w:left="720"/>
        <w:jc w:val="both"/>
        <w:rPr>
          <w:b/>
          <w:sz w:val="24"/>
          <w:szCs w:val="24"/>
        </w:rPr>
      </w:pPr>
    </w:p>
    <w:p w:rsidR="004C5424" w:rsidRDefault="004854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Los materiales y la formación para ayudar a los padres a trabajar con sus hijos se proporcionarán a través de las siguientes vías:</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Pactos Hogar/Escuela</w:t>
      </w: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Boletines/ Conexiones para el hogar y la escuela </w:t>
      </w: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Cartas que explican los resultados de las evaluaciones de los estudiantes y cómo interpretar los informes de puntuación</w:t>
      </w: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Reuniones de padres y profesores</w:t>
      </w: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El Manual del Estudiante contiene la política de uso aceptable</w:t>
      </w:r>
    </w:p>
    <w:p w:rsidR="00847E2C" w:rsidRDefault="00847E2C">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Calendario de distritos</w:t>
      </w:r>
    </w:p>
    <w:p w:rsidR="004C5424" w:rsidRDefault="004C5424">
      <w:pPr>
        <w:spacing w:after="0"/>
        <w:jc w:val="both"/>
        <w:rPr>
          <w:b/>
          <w:sz w:val="24"/>
          <w:szCs w:val="24"/>
        </w:rPr>
      </w:pPr>
    </w:p>
    <w:p w:rsidR="004C5424" w:rsidRDefault="006C1D15" w:rsidP="00024BD3">
      <w:pPr>
        <w:spacing w:after="0"/>
        <w:ind w:left="360"/>
        <w:contextualSpacing/>
        <w:jc w:val="both"/>
        <w:rPr>
          <w:b/>
          <w:sz w:val="24"/>
          <w:szCs w:val="24"/>
        </w:rPr>
      </w:pPr>
      <w:r>
        <w:rPr>
          <w:b/>
          <w:sz w:val="24"/>
          <w:szCs w:val="24"/>
        </w:rPr>
        <w:t>K. Describe cómo educará a profesores, personal especializado de apoyo docente, directores y otros líderes escolares, y otro personal, con la ayuda de los padres, sobre el valor y la utilidad de las contribuciones de los padres, y cómo acercarse, comunicarse y trabajar con ellos como socios igualitarios, implementar y coordinar programas para padres, y construir vínculos entre padres y la escuela.</w:t>
      </w:r>
    </w:p>
    <w:p w:rsidR="004C5424" w:rsidRDefault="004C5424">
      <w:pPr>
        <w:spacing w:after="0"/>
        <w:ind w:left="1080"/>
        <w:jc w:val="both"/>
        <w:rPr>
          <w:rFonts w:ascii="Times New Roman" w:eastAsia="Times New Roman" w:hAnsi="Times New Roman" w:cs="Times New Roman"/>
          <w:sz w:val="24"/>
          <w:szCs w:val="24"/>
        </w:rPr>
      </w:pPr>
    </w:p>
    <w:p w:rsidR="004C5424" w:rsidRDefault="004854D8" w:rsidP="007D1F86">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Sistema Escolar del Condado de Dale, con la ayuda de sus escuelas y padres, educará a sus profesores, directores y personal sobre cómo comunicarse y trabajar con los padres como socios igualitarios.  El enfoque estará en el valor de las contribuciones de los padres y en cómo implementar y coordinar programas para padres y en fortalecer los lazos entre padres y las escuelas.  Esto se logrará mediante lo siguiente:</w:t>
      </w:r>
    </w:p>
    <w:p w:rsidR="004C5424" w:rsidRDefault="004C5424" w:rsidP="005C4C61">
      <w:pPr>
        <w:spacing w:after="0"/>
        <w:jc w:val="right"/>
        <w:rPr>
          <w:rFonts w:ascii="Times New Roman" w:eastAsia="Times New Roman" w:hAnsi="Times New Roman" w:cs="Times New Roman"/>
          <w:sz w:val="24"/>
          <w:szCs w:val="24"/>
        </w:rPr>
      </w:pPr>
    </w:p>
    <w:p w:rsidR="004C5424" w:rsidRDefault="00CB3AD3">
      <w:pPr>
        <w:numPr>
          <w:ilvl w:val="0"/>
          <w:numId w:val="20"/>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Formación continua de profesores con enfoque en los temas mencionados</w:t>
      </w:r>
    </w:p>
    <w:p w:rsidR="004C5424" w:rsidRDefault="004854D8">
      <w:pPr>
        <w:numPr>
          <w:ilvl w:val="0"/>
          <w:numId w:val="20"/>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Sitios web del distrito/escuela</w:t>
      </w:r>
    </w:p>
    <w:p w:rsidR="004C5424" w:rsidRDefault="004854D8">
      <w:pPr>
        <w:numPr>
          <w:ilvl w:val="0"/>
          <w:numId w:val="20"/>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Contacto con padres en lugares alternativos</w:t>
      </w:r>
    </w:p>
    <w:p w:rsidR="004C5424" w:rsidRDefault="004C5424">
      <w:pPr>
        <w:jc w:val="both"/>
        <w:rPr>
          <w:b/>
          <w:sz w:val="24"/>
          <w:szCs w:val="24"/>
        </w:rPr>
      </w:pPr>
    </w:p>
    <w:p w:rsidR="004C5424" w:rsidRDefault="006C1D15" w:rsidP="00024BD3">
      <w:pPr>
        <w:spacing w:after="0"/>
        <w:ind w:left="360"/>
        <w:contextualSpacing/>
        <w:jc w:val="both"/>
        <w:rPr>
          <w:b/>
          <w:sz w:val="24"/>
          <w:szCs w:val="24"/>
        </w:rPr>
      </w:pPr>
      <w:r>
        <w:rPr>
          <w:b/>
          <w:sz w:val="24"/>
          <w:szCs w:val="24"/>
        </w:rPr>
        <w:t>L. Describe cómo, en la medida de lo posible y apropiado, coordinará e integrará programas y actividades de participación de los padres con otros programas federales, estatales y locales, incluidos los programas públicos de preescolar, y realizará otras actividades, como centros de recursos para padres, que animen y apoyen a los padres en una participación más plena en la educación de sus hijos.</w:t>
      </w:r>
    </w:p>
    <w:p w:rsidR="004C5424" w:rsidRDefault="004C5424">
      <w:pPr>
        <w:spacing w:after="0"/>
        <w:ind w:left="72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Sistema Escolar del Condado de Dale colaborará con la asociación Bautista de Dale, el Centro de Servicios Familiares Mary Hill y otras organizaciones comunitarias para ofrecer oportunidades de formación que mejoren el programa de participación parental.   También renovaremos cada año nuestro acuerdo entre la Junta de Educación del Condado de Dale y el Programa de Acción Comunitaria Organizada, Programa Head Start.  Esto proporcionará áreas de coordinación y cooperación que incluirán canales de comunicación para la intervención temprana, la búsqueda infantil, Headstart y otros recursos para padres.  </w:t>
      </w:r>
    </w:p>
    <w:p w:rsidR="004C5424" w:rsidRDefault="004C5424">
      <w:pPr>
        <w:spacing w:after="0" w:line="240" w:lineRule="auto"/>
        <w:jc w:val="both"/>
        <w:rPr>
          <w:rFonts w:ascii="Times New Roman" w:eastAsia="Times New Roman" w:hAnsi="Times New Roman" w:cs="Times New Roman"/>
          <w:sz w:val="24"/>
          <w:szCs w:val="24"/>
        </w:rPr>
      </w:pPr>
    </w:p>
    <w:p w:rsidR="004C5424" w:rsidRDefault="00D74A8F" w:rsidP="00024BD3">
      <w:pPr>
        <w:spacing w:after="0"/>
        <w:ind w:left="270"/>
        <w:contextualSpacing/>
        <w:jc w:val="both"/>
        <w:rPr>
          <w:b/>
          <w:sz w:val="24"/>
          <w:szCs w:val="24"/>
        </w:rPr>
      </w:pPr>
      <w:r>
        <w:rPr>
          <w:b/>
          <w:sz w:val="24"/>
          <w:szCs w:val="24"/>
        </w:rPr>
        <w:t>M. Describe cómo garantizará que la información relacionada con programas escolares y para padres, reuniones y otras actividades se envíe a los padres de los niños participantes en un formato y, en la medida de lo posible, en un idioma que los padres puedan entender.</w:t>
      </w:r>
    </w:p>
    <w:p w:rsidR="004C5424" w:rsidRDefault="004C5424">
      <w:pPr>
        <w:spacing w:after="0"/>
        <w:ind w:left="720"/>
        <w:jc w:val="both"/>
        <w:rPr>
          <w:b/>
          <w:sz w:val="24"/>
          <w:szCs w:val="24"/>
        </w:rPr>
      </w:pPr>
    </w:p>
    <w:p w:rsidR="004C5424" w:rsidRPr="00D74A8F" w:rsidRDefault="004854D8" w:rsidP="007F5A09">
      <w:pPr>
        <w:pStyle w:val="ListParagraph"/>
        <w:numPr>
          <w:ilvl w:val="0"/>
          <w:numId w:val="28"/>
        </w:numPr>
        <w:spacing w:after="0"/>
        <w:rPr>
          <w:sz w:val="24"/>
          <w:szCs w:val="24"/>
        </w:rPr>
      </w:pPr>
      <w:r w:rsidRPr="007F5A09">
        <w:rPr>
          <w:rFonts w:ascii="Times New Roman" w:eastAsia="Times New Roman" w:hAnsi="Times New Roman" w:cs="Times New Roman"/>
          <w:sz w:val="24"/>
          <w:szCs w:val="24"/>
        </w:rPr>
        <w:t xml:space="preserve">Todas las escuelas con Título I utilizarán programas como Google Translate y TransACT para proporcionar comunicación oportuna con todos los padres en un </w:t>
      </w:r>
      <w:proofErr w:type="spellStart"/>
      <w:r w:rsidRPr="007F5A09">
        <w:rPr>
          <w:rFonts w:ascii="Times New Roman" w:eastAsia="Times New Roman" w:hAnsi="Times New Roman" w:cs="Times New Roman"/>
          <w:sz w:val="24"/>
          <w:szCs w:val="24"/>
        </w:rPr>
        <w:t>idioma</w:t>
      </w:r>
      <w:proofErr w:type="spellEnd"/>
      <w:r w:rsidRPr="007F5A09">
        <w:rPr>
          <w:rFonts w:ascii="Times New Roman" w:eastAsia="Times New Roman" w:hAnsi="Times New Roman" w:cs="Times New Roman"/>
          <w:sz w:val="24"/>
          <w:szCs w:val="24"/>
        </w:rPr>
        <w:t xml:space="preserve"> que </w:t>
      </w:r>
      <w:proofErr w:type="spellStart"/>
      <w:r w:rsidRPr="007F5A09">
        <w:rPr>
          <w:rFonts w:ascii="Times New Roman" w:eastAsia="Times New Roman" w:hAnsi="Times New Roman" w:cs="Times New Roman"/>
          <w:sz w:val="24"/>
          <w:szCs w:val="24"/>
        </w:rPr>
        <w:t>puedan</w:t>
      </w:r>
      <w:proofErr w:type="spellEnd"/>
      <w:r w:rsidRPr="007F5A09">
        <w:rPr>
          <w:rFonts w:ascii="Times New Roman" w:eastAsia="Times New Roman" w:hAnsi="Times New Roman" w:cs="Times New Roman"/>
          <w:sz w:val="24"/>
          <w:szCs w:val="24"/>
        </w:rPr>
        <w:t xml:space="preserve"> </w:t>
      </w:r>
      <w:proofErr w:type="spellStart"/>
      <w:r w:rsidRPr="007F5A09">
        <w:rPr>
          <w:rFonts w:ascii="Times New Roman" w:eastAsia="Times New Roman" w:hAnsi="Times New Roman" w:cs="Times New Roman"/>
          <w:sz w:val="24"/>
          <w:szCs w:val="24"/>
        </w:rPr>
        <w:t>entender</w:t>
      </w:r>
      <w:proofErr w:type="spellEnd"/>
      <w:r w:rsidRPr="007F5A09">
        <w:rPr>
          <w:rFonts w:ascii="Times New Roman" w:eastAsia="Times New Roman" w:hAnsi="Times New Roman" w:cs="Times New Roman"/>
          <w:sz w:val="24"/>
          <w:szCs w:val="24"/>
        </w:rPr>
        <w:t>.</w:t>
      </w:r>
    </w:p>
    <w:p w:rsidR="00D74A8F" w:rsidRPr="00D74A8F" w:rsidRDefault="00D74A8F" w:rsidP="007F5A09">
      <w:pPr>
        <w:pStyle w:val="ListParagraph"/>
        <w:numPr>
          <w:ilvl w:val="0"/>
          <w:numId w:val="28"/>
        </w:numPr>
        <w:spacing w:after="0"/>
        <w:rPr>
          <w:rFonts w:ascii="Times New Roman" w:hAnsi="Times New Roman" w:cs="Times New Roman"/>
          <w:sz w:val="24"/>
          <w:szCs w:val="24"/>
        </w:rPr>
      </w:pPr>
      <w:r w:rsidRPr="00D74A8F">
        <w:rPr>
          <w:rFonts w:ascii="Times New Roman" w:hAnsi="Times New Roman" w:cs="Times New Roman"/>
          <w:sz w:val="24"/>
          <w:szCs w:val="24"/>
          <w:shd w:val="clear" w:color="auto" w:fill="FCFCFC"/>
        </w:rPr>
        <w:t>También contamos con un especialista en EL (EL), un profesor de EL y un traductor de la oficina central para ayudar en los eventos</w:t>
      </w:r>
    </w:p>
    <w:p w:rsidR="004C5424" w:rsidRPr="00D74A8F" w:rsidRDefault="004C5424">
      <w:pPr>
        <w:spacing w:after="0"/>
        <w:ind w:left="1368"/>
        <w:jc w:val="both"/>
        <w:rPr>
          <w:rFonts w:ascii="Times New Roman" w:eastAsia="Times New Roman" w:hAnsi="Times New Roman" w:cs="Times New Roman"/>
          <w:sz w:val="24"/>
          <w:szCs w:val="24"/>
        </w:rPr>
      </w:pPr>
    </w:p>
    <w:p w:rsidR="004C5424" w:rsidRDefault="00D74A8F" w:rsidP="00024BD3">
      <w:pPr>
        <w:spacing w:after="0"/>
        <w:ind w:left="270"/>
        <w:contextualSpacing/>
        <w:jc w:val="both"/>
        <w:rPr>
          <w:sz w:val="24"/>
          <w:szCs w:val="24"/>
        </w:rPr>
      </w:pPr>
      <w:r>
        <w:rPr>
          <w:b/>
          <w:sz w:val="24"/>
          <w:szCs w:val="24"/>
        </w:rPr>
        <w:t>N. Describe cómo garantizará proporcionar cualquier otro apoyo razonable para actividades de participación parental bajo esta sección según lo soliciten los padres</w:t>
      </w:r>
      <w:r w:rsidR="004854D8">
        <w:rPr>
          <w:sz w:val="24"/>
          <w:szCs w:val="24"/>
        </w:rPr>
        <w:t>.</w:t>
      </w:r>
    </w:p>
    <w:p w:rsidR="004C5424" w:rsidRDefault="004C5424">
      <w:pPr>
        <w:spacing w:after="0"/>
        <w:ind w:left="720"/>
        <w:jc w:val="both"/>
        <w:rPr>
          <w:sz w:val="24"/>
          <w:szCs w:val="24"/>
          <w:highlight w:val="green"/>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apoyo razonable para las actividades de participación parental será proporcionado por:</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6"/>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Establecer Consejos Asesores de Padres a nivel de distrito y de escuela para ofrecer asesoramiento sobre todos los asuntos relacionados con la participación parental en los programas del Título I, Parte A</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6"/>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Utiliza los resultados de la Encuesta del Título I del Condado de Dale para realizar ampliaciones y mejoras en las actividades de participación de los padres</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6"/>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Varía los horarios de las reuniones con padres y proporciona cuidado si se solicita o es necesario</w:t>
      </w:r>
    </w:p>
    <w:p w:rsidR="004C5424" w:rsidRDefault="004C5424">
      <w:pPr>
        <w:spacing w:after="0"/>
        <w:jc w:val="both"/>
        <w:rPr>
          <w:rFonts w:ascii="Times New Roman" w:eastAsia="Times New Roman" w:hAnsi="Times New Roman" w:cs="Times New Roman"/>
          <w:sz w:val="24"/>
          <w:szCs w:val="24"/>
        </w:rPr>
      </w:pPr>
    </w:p>
    <w:p w:rsidR="004C5424" w:rsidRDefault="00D74A8F" w:rsidP="00024BD3">
      <w:pPr>
        <w:spacing w:after="0"/>
        <w:ind w:left="270"/>
        <w:contextualSpacing/>
        <w:jc w:val="both"/>
        <w:rPr>
          <w:b/>
          <w:sz w:val="24"/>
          <w:szCs w:val="24"/>
        </w:rPr>
      </w:pPr>
      <w:r>
        <w:rPr>
          <w:b/>
          <w:sz w:val="24"/>
          <w:szCs w:val="24"/>
        </w:rPr>
        <w:lastRenderedPageBreak/>
        <w:t>O. Describe cómo la LEA puede involucrar a los padres en el desarrollo de la formación para profesores, directores y otros educadores con el fin de mejorar la eficacia de dicha formación.</w:t>
      </w:r>
    </w:p>
    <w:p w:rsidR="004C5424" w:rsidRDefault="004C5424">
      <w:pPr>
        <w:spacing w:after="0"/>
        <w:jc w:val="both"/>
        <w:rPr>
          <w:b/>
          <w:sz w:val="24"/>
          <w:szCs w:val="24"/>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Los padres pueden participar en el desarrollo de la formación de profesores de las siguientes maneras:</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2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Basar parte de la formación docente en la información obtenida de la Encuesta Título I del Condado de Dale </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2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Buscando la opinión de los padres sobre mejores formas de hacer que se sientan bienvenidos y valorados en el entorno escolar</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2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Pidiendo a los padres que lideren las reuniones de PTO sobre temas de preocupaciones generales de los padres</w:t>
      </w:r>
    </w:p>
    <w:p w:rsidR="004C5424" w:rsidRDefault="004C5424">
      <w:pPr>
        <w:spacing w:after="0"/>
        <w:jc w:val="both"/>
        <w:rPr>
          <w:rFonts w:ascii="Times New Roman" w:eastAsia="Times New Roman" w:hAnsi="Times New Roman" w:cs="Times New Roman"/>
          <w:sz w:val="24"/>
          <w:szCs w:val="24"/>
        </w:rPr>
      </w:pPr>
    </w:p>
    <w:p w:rsidR="004C5424" w:rsidRDefault="00D74A8F" w:rsidP="00024BD3">
      <w:pPr>
        <w:spacing w:after="0"/>
        <w:ind w:left="360"/>
        <w:contextualSpacing/>
        <w:jc w:val="both"/>
        <w:rPr>
          <w:b/>
          <w:sz w:val="24"/>
          <w:szCs w:val="24"/>
        </w:rPr>
      </w:pPr>
      <w:r>
        <w:rPr>
          <w:b/>
          <w:sz w:val="24"/>
          <w:szCs w:val="24"/>
        </w:rPr>
        <w:t>P. Describe cómo la LEA puede proporcionar la formación necesaria en alfabetización con fondos recibidos en virtud de esta parte si la agencia educativa local ha agotado todas las demás fuentes razonablemente disponibles para dicha formación.</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Sistema Escolar del Condado de Dale, con la ayuda de sus escuelas, proporcionará materiales y formación para ayudar a los padres a trabajar con sus hijos para mejorar su rendimiento académico, como la formación en alfabetización y el uso de tecnología, según corresponda para fomentar la implicación parental mediante:</w:t>
      </w:r>
    </w:p>
    <w:p w:rsidR="004C5424" w:rsidRDefault="004C5424">
      <w:pPr>
        <w:spacing w:after="0" w:line="240" w:lineRule="auto"/>
        <w:jc w:val="both"/>
        <w:rPr>
          <w:rFonts w:ascii="Times New Roman" w:eastAsia="Times New Roman" w:hAnsi="Times New Roman" w:cs="Times New Roman"/>
          <w:sz w:val="24"/>
          <w:szCs w:val="24"/>
        </w:rPr>
      </w:pPr>
    </w:p>
    <w:p w:rsidR="00CB3AD3" w:rsidRDefault="00CB3AD3">
      <w:pPr>
        <w:spacing w:after="0" w:line="240" w:lineRule="auto"/>
        <w:jc w:val="both"/>
        <w:rPr>
          <w:rFonts w:ascii="Times New Roman" w:eastAsia="Times New Roman" w:hAnsi="Times New Roman" w:cs="Times New Roman"/>
          <w:sz w:val="24"/>
          <w:szCs w:val="24"/>
        </w:rPr>
      </w:pP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Pacto Hogar/Escuela</w:t>
      </w:r>
    </w:p>
    <w:p w:rsidR="004C5424" w:rsidRDefault="00754427">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Conexión entre el hogar y la escuela </w:t>
      </w: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Boletines</w:t>
      </w: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Reuniones de padres y profesores</w:t>
      </w: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Reuniones de orientación</w:t>
      </w: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Actividades de Visita a los Padres</w:t>
      </w:r>
    </w:p>
    <w:p w:rsidR="004C5424" w:rsidRDefault="004C5424">
      <w:pPr>
        <w:spacing w:after="0"/>
        <w:ind w:left="1368"/>
        <w:jc w:val="both"/>
        <w:rPr>
          <w:rFonts w:ascii="Times New Roman" w:eastAsia="Times New Roman" w:hAnsi="Times New Roman" w:cs="Times New Roman"/>
          <w:sz w:val="24"/>
          <w:szCs w:val="24"/>
        </w:rPr>
      </w:pPr>
    </w:p>
    <w:p w:rsidR="004C5424" w:rsidRDefault="00D74A8F" w:rsidP="00024BD3">
      <w:pPr>
        <w:spacing w:after="0"/>
        <w:ind w:left="450"/>
        <w:contextualSpacing/>
        <w:jc w:val="both"/>
        <w:rPr>
          <w:b/>
          <w:sz w:val="24"/>
          <w:szCs w:val="24"/>
        </w:rPr>
      </w:pPr>
      <w:r>
        <w:rPr>
          <w:b/>
          <w:sz w:val="24"/>
          <w:szCs w:val="24"/>
        </w:rPr>
        <w:t>P. Describe cómo la LEA puede pagar gastos razonables y necesarios asociados a actividades locales de participación de los padres, incluidos los costes de transporte y cuidado infantil, para permitir que los padres participen en reuniones y sesiones de formación relacionadas con la escuela.</w:t>
      </w:r>
    </w:p>
    <w:p w:rsidR="004C5424" w:rsidRDefault="004C5424">
      <w:pPr>
        <w:spacing w:after="0"/>
        <w:ind w:left="720"/>
        <w:jc w:val="both"/>
        <w:rPr>
          <w:b/>
          <w:sz w:val="24"/>
          <w:szCs w:val="24"/>
        </w:rPr>
      </w:pPr>
    </w:p>
    <w:p w:rsidR="004C5424" w:rsidRDefault="004854D8" w:rsidP="00B976B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uno por ciento de los fondos del Título 1 se reservará para la participación de los padres. Estos fondos pueden utilizarse para gastos de cuidado infantil y transporte si se solicita. Ofrecemos reuniones en diferentes horarios para atender a padres y cuidadores de niños, y también disponemos de la posibilidad de reuniones virtuales si así se desea.  </w:t>
      </w:r>
    </w:p>
    <w:p w:rsidR="00B976BB" w:rsidRDefault="00B976BB" w:rsidP="00B976BB">
      <w:pPr>
        <w:spacing w:after="0"/>
        <w:jc w:val="both"/>
        <w:rPr>
          <w:b/>
          <w:sz w:val="24"/>
          <w:szCs w:val="24"/>
        </w:rPr>
      </w:pPr>
    </w:p>
    <w:p w:rsidR="004C5424" w:rsidRDefault="00D74A8F" w:rsidP="00024BD3">
      <w:pPr>
        <w:spacing w:after="0"/>
        <w:ind w:left="450"/>
        <w:contextualSpacing/>
        <w:jc w:val="both"/>
        <w:rPr>
          <w:b/>
          <w:sz w:val="24"/>
          <w:szCs w:val="24"/>
        </w:rPr>
      </w:pPr>
      <w:r>
        <w:rPr>
          <w:b/>
          <w:sz w:val="24"/>
          <w:szCs w:val="24"/>
        </w:rPr>
        <w:lastRenderedPageBreak/>
        <w:t>R. Describe cómo la LEA puede formar a los padres para mejorar la implicación de otros padres.</w:t>
      </w:r>
    </w:p>
    <w:p w:rsidR="004C5424" w:rsidRDefault="004C5424">
      <w:pPr>
        <w:spacing w:after="0" w:line="240" w:lineRule="auto"/>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las reuniones programadas para padres, las reuniones de padres y padres y las reuniones del Consejo Asesor, los padres serán informados sobre diversas formas de implicarse en la educación de sus hijos.  Se animará a estos padres a compartir esta información con otros padres.  Los responsables escolares animarán a los padres a compartir información sobre eventos próximos con otros padres mediante llamadas telefónicas, redes sociales, etc. Las páginas web a nivel de distrito o escuela contienen información para que los padres la compartan con quienes no tengan acceso a internet. También se distribuirán boletines.</w:t>
      </w:r>
    </w:p>
    <w:p w:rsidR="004C5424" w:rsidRDefault="004C5424">
      <w:pPr>
        <w:spacing w:after="0"/>
        <w:jc w:val="both"/>
        <w:rPr>
          <w:rFonts w:ascii="Times New Roman" w:eastAsia="Times New Roman" w:hAnsi="Times New Roman" w:cs="Times New Roman"/>
          <w:sz w:val="24"/>
          <w:szCs w:val="24"/>
        </w:rPr>
      </w:pPr>
    </w:p>
    <w:p w:rsidR="004C5424" w:rsidRDefault="00D74A8F" w:rsidP="00024BD3">
      <w:pPr>
        <w:spacing w:after="0"/>
        <w:ind w:left="450"/>
        <w:contextualSpacing/>
        <w:jc w:val="both"/>
        <w:rPr>
          <w:b/>
          <w:sz w:val="24"/>
          <w:szCs w:val="24"/>
        </w:rPr>
      </w:pPr>
      <w:r>
        <w:rPr>
          <w:b/>
          <w:sz w:val="24"/>
          <w:szCs w:val="24"/>
        </w:rPr>
        <w:t>S. Describe cómo la LEA puede organizar reuniones escolares en diferentes horarios, o realizar reuniones en casa entre profesores u otros educadores, que trabajan directamente con los niños participantes, con padres que no pueden asistir a dichas conferencias en la escuela, para maximizar la participación y implicación de los padres.</w:t>
      </w:r>
    </w:p>
    <w:p w:rsidR="004C5424" w:rsidRDefault="004C5424">
      <w:pPr>
        <w:spacing w:after="0"/>
        <w:ind w:left="72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animará a los responsables escolares a adaptarse a los padres que no puedan asistir a las conferencias escolares para que puedan participar en la educación de sus hijos.  Se pueden emplear los siguientes métodos:</w:t>
      </w:r>
    </w:p>
    <w:p w:rsidR="004C5424" w:rsidRDefault="004C5424">
      <w:pPr>
        <w:spacing w:after="0" w:line="240" w:lineRule="auto"/>
        <w:jc w:val="both"/>
        <w:rPr>
          <w:rFonts w:ascii="Times New Roman" w:eastAsia="Times New Roman" w:hAnsi="Times New Roman" w:cs="Times New Roman"/>
          <w:sz w:val="24"/>
          <w:szCs w:val="24"/>
        </w:rPr>
      </w:pP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Teleconferencia para padres que no pueden asistir a conferencias durante el día escolar</w:t>
      </w: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conferencias usando FACETIME</w:t>
      </w: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Conferencias después de clase o por la tarde</w:t>
      </w: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Comunicación por correo electrónico o mensajes de texto</w:t>
      </w: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Conferencias en casa para padres cuyos hijos reciben servicios de servicio domiciliario</w:t>
      </w:r>
    </w:p>
    <w:p w:rsidR="00847E2C" w:rsidRDefault="00847E2C">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Aplicación REMIND</w:t>
      </w:r>
    </w:p>
    <w:p w:rsidR="00CB3AD3" w:rsidRDefault="00CB3AD3" w:rsidP="00CB3AD3">
      <w:pPr>
        <w:spacing w:after="0" w:line="240" w:lineRule="auto"/>
        <w:contextualSpacing/>
        <w:jc w:val="both"/>
        <w:rPr>
          <w:rFonts w:ascii="Times New Roman" w:eastAsia="Times New Roman" w:hAnsi="Times New Roman" w:cs="Times New Roman"/>
          <w:sz w:val="24"/>
          <w:szCs w:val="24"/>
        </w:rPr>
      </w:pPr>
    </w:p>
    <w:p w:rsidR="004C5424" w:rsidRDefault="00D74A8F" w:rsidP="00024BD3">
      <w:pPr>
        <w:spacing w:after="0"/>
        <w:ind w:left="540"/>
        <w:contextualSpacing/>
        <w:jc w:val="both"/>
        <w:rPr>
          <w:b/>
          <w:sz w:val="24"/>
          <w:szCs w:val="24"/>
        </w:rPr>
      </w:pPr>
      <w:r>
        <w:rPr>
          <w:b/>
          <w:sz w:val="24"/>
          <w:szCs w:val="24"/>
        </w:rPr>
        <w:t>T. Describe cómo la LEA puede adoptar e implementar enfoques modelo para mejorar la implicación parental.</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ofrecen guías de transición y oportunidades de orientación para los estudiantes que ingresan en infantil, séptimo y noveno curso.  Se ofrecen actividades JUMPSTART para los estudiantes que entran en infantil y sus padres.  Todos los padres pueden conocer más sobre la escuela de su hijo recorriendo el campus y reuniéndose con profesores, administradores y otros estudiantes.  Se anima a padres y miembros de la comunidad a unirse a la PTO.  Además, durante todo el curso escolar se celebran almuerzos y actividades para padres.</w:t>
      </w:r>
    </w:p>
    <w:p w:rsidR="004C5424" w:rsidRDefault="004C5424">
      <w:pPr>
        <w:spacing w:after="0"/>
        <w:jc w:val="both"/>
        <w:rPr>
          <w:b/>
          <w:sz w:val="24"/>
          <w:szCs w:val="24"/>
        </w:rPr>
      </w:pPr>
    </w:p>
    <w:p w:rsidR="004C5424" w:rsidRDefault="00D74A8F" w:rsidP="00024BD3">
      <w:pPr>
        <w:spacing w:after="0"/>
        <w:ind w:left="630"/>
        <w:contextualSpacing/>
        <w:jc w:val="both"/>
        <w:rPr>
          <w:b/>
          <w:sz w:val="24"/>
          <w:szCs w:val="24"/>
        </w:rPr>
      </w:pPr>
      <w:r>
        <w:rPr>
          <w:b/>
          <w:sz w:val="24"/>
          <w:szCs w:val="24"/>
        </w:rPr>
        <w:t>E. Describe cómo la LEA puede establecer un consejo asesor de padres a nivel distrital para asesorar sobre todos los asuntos relacionados con la participación parental en los programas apoyados en esta sección.</w:t>
      </w:r>
    </w:p>
    <w:p w:rsidR="004C5424" w:rsidRDefault="004C5424">
      <w:pPr>
        <w:spacing w:after="0"/>
        <w:jc w:val="both"/>
        <w:rPr>
          <w:b/>
          <w:sz w:val="24"/>
          <w:szCs w:val="24"/>
        </w:rPr>
      </w:pPr>
    </w:p>
    <w:p w:rsidR="004C5424" w:rsidRDefault="004854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Sistema Escolar del Condado de Dale ha establecido un Consejo Asesor de Padres a nivel de distrito.  Los miembros eran seleccionados por los directores de cada escuela.  Se contacta con los padres para informar sobre su disposición a formar parte del consejo.  El consejo se reunirá al menos dos veces al año.  Los padres son contactados por correo o correo electrónico varias semanas antes de la fecha de la reunión y se envía un recordatorio unos días antes de cada reunión.</w:t>
      </w: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b/>
          <w:sz w:val="24"/>
          <w:szCs w:val="24"/>
        </w:rPr>
      </w:pPr>
    </w:p>
    <w:p w:rsidR="004C5424" w:rsidRDefault="00D74A8F" w:rsidP="00024BD3">
      <w:pPr>
        <w:spacing w:after="0"/>
        <w:ind w:left="630"/>
        <w:contextualSpacing/>
        <w:jc w:val="both"/>
        <w:rPr>
          <w:b/>
          <w:sz w:val="24"/>
          <w:szCs w:val="24"/>
        </w:rPr>
      </w:pPr>
      <w:r>
        <w:rPr>
          <w:b/>
          <w:sz w:val="24"/>
          <w:szCs w:val="24"/>
        </w:rPr>
        <w:t>V. Describe cómo la LEA puede desarrollar roles apropiados para organizaciones comunitarias y empresas en actividades de participación de padres.</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Sistema Escolar del Condado de Dale utilizará organizaciones comunitarias como Wiregrass United Way, Mary Hill Family Service Center, Spectra Care, Dale Baptist Association, así como negocios como Walmart y Sam's Club, para ayudar a nuestras escuelas con actividades de participación de los padres a través de:</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Proporcionar una fuente de financiación para comida, material escolar, material para profesores, etc.</w:t>
      </w: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Prestación de servicios de orientación para estudiantes y familias necesitadas</w:t>
      </w: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Proporcionar información/asesoramiento sobre temas como el abuso de drogas y alcohol</w:t>
      </w: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Ofrecer el programa Why Try - formación para familias con niños</w:t>
      </w: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Ofrece lecciones personales y sociales sobre temas como drogas, estrés, acoso escolar, ciberacoso y prevención del suicidio.</w:t>
      </w:r>
    </w:p>
    <w:p w:rsidR="004C5424" w:rsidRDefault="004C5424">
      <w:pPr>
        <w:spacing w:after="0"/>
        <w:jc w:val="both"/>
        <w:rPr>
          <w:b/>
          <w:sz w:val="24"/>
          <w:szCs w:val="24"/>
        </w:rPr>
      </w:pPr>
    </w:p>
    <w:p w:rsidR="004C5424" w:rsidRDefault="004854D8">
      <w:pPr>
        <w:jc w:val="both"/>
        <w:rPr>
          <w:b/>
          <w:sz w:val="24"/>
          <w:szCs w:val="24"/>
        </w:rPr>
      </w:pPr>
      <w:r>
        <w:rPr>
          <w:b/>
          <w:sz w:val="24"/>
          <w:szCs w:val="24"/>
        </w:rPr>
        <w:t>Sección 1116(f)</w:t>
      </w:r>
    </w:p>
    <w:p w:rsidR="004C5424" w:rsidRDefault="00D74A8F" w:rsidP="00024BD3">
      <w:pPr>
        <w:spacing w:after="0"/>
        <w:ind w:left="630"/>
        <w:contextualSpacing/>
        <w:jc w:val="both"/>
        <w:rPr>
          <w:b/>
          <w:sz w:val="24"/>
          <w:szCs w:val="24"/>
        </w:rPr>
      </w:pPr>
      <w:r>
        <w:rPr>
          <w:b/>
          <w:sz w:val="24"/>
          <w:szCs w:val="24"/>
        </w:rPr>
        <w:t>W. Describe cómo la Agencia Local de Educación, en la medida de lo posible, debe proporcionar oportunidades para la participación informada de padres y familiares (incluidos padres y familiares con dominio limitado del inglés, padres y familiares con discapacidades, padres y familiares de niños migrantes, padres y familiares de niños sin hogar, y padres y familiares de niños inmigrantes),  incluyendo la provisión de información e informes escolares requeridos bajo la sección 1111 en un formato y, en la medida de lo posible, en un lenguaje que tales padres entiendan.</w:t>
      </w:r>
    </w:p>
    <w:p w:rsidR="004C5424" w:rsidRDefault="004C5424">
      <w:pPr>
        <w:spacing w:after="0"/>
        <w:ind w:left="720"/>
        <w:jc w:val="both"/>
        <w:rPr>
          <w:b/>
          <w:sz w:val="24"/>
          <w:szCs w:val="24"/>
        </w:rPr>
      </w:pPr>
    </w:p>
    <w:p w:rsidR="004C5424" w:rsidRDefault="004854D8" w:rsidP="0075442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reuniones de padres se llevan a cabo durante el curso escolar, proporcionando a los padres información sobre la educación de sus hijos, materiales para practicar las habilidades necesarias y consejos para los padres.  La comunicación implica una variedad de medios como llamadas telefónicas, correo electrónico y reuniones de padres y profesores, SchoolCast y la aplicación REMIND.  Se utilizan traductores de Google Translate, Transact o presenciales cuando es necesario para comunicarse con padres que no hablan inglés.  También organizamos una noche especial de padres de EL, donde contamos con un especialista en EL, un profesor de EL y un traductor de la Central Office.  Esto proporciona a nuestra población de EL la seguridad de una multitud más pequeña y una comunicación más individualizada </w:t>
      </w:r>
    </w:p>
    <w:p w:rsidR="00754427" w:rsidRDefault="00754427" w:rsidP="00754427">
      <w:pPr>
        <w:spacing w:after="0"/>
        <w:jc w:val="both"/>
        <w:rPr>
          <w:b/>
          <w:color w:val="2E75B5"/>
          <w:sz w:val="24"/>
          <w:szCs w:val="24"/>
        </w:rPr>
      </w:pPr>
    </w:p>
    <w:p w:rsidR="004C5424" w:rsidRDefault="004854D8">
      <w:pPr>
        <w:jc w:val="both"/>
        <w:rPr>
          <w:b/>
          <w:sz w:val="24"/>
          <w:szCs w:val="24"/>
        </w:rPr>
      </w:pPr>
      <w:r>
        <w:rPr>
          <w:b/>
          <w:sz w:val="24"/>
          <w:szCs w:val="24"/>
        </w:rPr>
        <w:t xml:space="preserve">Esta Política de Participación de Padres y Familias de la LEA ha sido desarrollada conjuntamente y acordada con los padres de niños que participan en programas del Título I, Parte A, como lo demuestran las </w:t>
      </w:r>
      <w:r>
        <w:rPr>
          <w:b/>
          <w:sz w:val="24"/>
          <w:szCs w:val="24"/>
          <w:u w:val="single"/>
        </w:rPr>
        <w:t>actas de la reunión del consejo asesor y las hojas de firma.</w:t>
      </w:r>
      <w:r>
        <w:rPr>
          <w:b/>
          <w:sz w:val="24"/>
          <w:szCs w:val="24"/>
        </w:rPr>
        <w:t xml:space="preserve">  El distrito escolar distribuirá esta política a todos los padres de los niños participantes en el Título I, Parte A, antes del 1 de septiembre.</w:t>
      </w:r>
    </w:p>
    <w:p w:rsidR="00754427" w:rsidRDefault="00754427">
      <w:pPr>
        <w:jc w:val="both"/>
        <w:rPr>
          <w:b/>
          <w:sz w:val="24"/>
          <w:szCs w:val="24"/>
        </w:rPr>
      </w:pPr>
      <w:r>
        <w:rPr>
          <w:b/>
          <w:sz w:val="24"/>
          <w:szCs w:val="24"/>
        </w:rPr>
        <w:t xml:space="preserve">PLAN APROBADO POR: </w:t>
      </w:r>
      <w:r w:rsidR="004854D8">
        <w:rPr>
          <w:b/>
          <w:sz w:val="24"/>
          <w:szCs w:val="24"/>
        </w:rPr>
        <w:tab/>
        <w:t>_____________________________________</w:t>
      </w:r>
      <w:r w:rsidR="004854D8">
        <w:rPr>
          <w:b/>
          <w:sz w:val="24"/>
          <w:szCs w:val="24"/>
        </w:rPr>
        <w:tab/>
      </w:r>
    </w:p>
    <w:p w:rsidR="004C5424" w:rsidRDefault="004854D8">
      <w:pPr>
        <w:jc w:val="both"/>
        <w:rPr>
          <w:b/>
          <w:sz w:val="24"/>
          <w:szCs w:val="24"/>
        </w:rPr>
      </w:pPr>
      <w:r>
        <w:rPr>
          <w:b/>
          <w:sz w:val="24"/>
          <w:szCs w:val="24"/>
        </w:rPr>
        <w:t>FECHA DE APROBACIÓN: _____________________________________</w:t>
      </w:r>
    </w:p>
    <w:p w:rsidR="00EB7559" w:rsidRDefault="00EB7559">
      <w:pPr>
        <w:jc w:val="both"/>
        <w:rPr>
          <w:b/>
          <w:sz w:val="24"/>
          <w:szCs w:val="24"/>
        </w:rPr>
      </w:pPr>
    </w:p>
    <w:p w:rsidR="004C5424" w:rsidRDefault="004854D8">
      <w:pPr>
        <w:jc w:val="both"/>
        <w:rPr>
          <w:b/>
          <w:sz w:val="24"/>
          <w:szCs w:val="24"/>
        </w:rPr>
      </w:pPr>
      <w:r>
        <w:rPr>
          <w:b/>
          <w:sz w:val="24"/>
          <w:szCs w:val="24"/>
        </w:rPr>
        <w:t>INFORMACIÓN REQUERIDA SOBRE EL DERECHO A SABER DE LOS PADRES</w:t>
      </w:r>
    </w:p>
    <w:p w:rsidR="004C5424" w:rsidRDefault="004854D8">
      <w:pPr>
        <w:jc w:val="both"/>
        <w:rPr>
          <w:b/>
          <w:sz w:val="24"/>
          <w:szCs w:val="24"/>
        </w:rPr>
      </w:pPr>
      <w:r>
        <w:rPr>
          <w:b/>
          <w:sz w:val="24"/>
          <w:szCs w:val="24"/>
        </w:rPr>
        <w:t>(1) INFORMACIÓN PARA PADRES-</w:t>
      </w:r>
    </w:p>
    <w:p w:rsidR="004C5424" w:rsidRDefault="004854D8">
      <w:pPr>
        <w:ind w:firstLine="720"/>
        <w:jc w:val="both"/>
        <w:rPr>
          <w:b/>
          <w:sz w:val="24"/>
          <w:szCs w:val="24"/>
        </w:rPr>
      </w:pPr>
      <w:r>
        <w:rPr>
          <w:b/>
          <w:sz w:val="24"/>
          <w:szCs w:val="24"/>
        </w:rPr>
        <w:t xml:space="preserve">(A) EN </w:t>
      </w:r>
      <w:proofErr w:type="gramStart"/>
      <w:r>
        <w:rPr>
          <w:b/>
          <w:sz w:val="24"/>
          <w:szCs w:val="24"/>
        </w:rPr>
        <w:t>GENERAL.—</w:t>
      </w:r>
      <w:proofErr w:type="gramEnd"/>
      <w:r>
        <w:rPr>
          <w:b/>
          <w:sz w:val="24"/>
          <w:szCs w:val="24"/>
        </w:rPr>
        <w:t>Al comienzo de cada curso escolar, una agencia educativa local que reciba fondos bajo esta parte deberá notificar a los padres de cada estudiante que asista a cualquier escuela que reciba fondos bajo esta parte que los padres puedan solicitar, y la agencia proporcionará a los padres cuando lo solicite (y de manera oportuna) información sobre las cualificaciones profesionales de los profesores de aula del alumno,  incluyendo, como mínimo, los siguientes:</w:t>
      </w:r>
    </w:p>
    <w:p w:rsidR="004C5424" w:rsidRDefault="004854D8">
      <w:pPr>
        <w:ind w:firstLine="720"/>
        <w:jc w:val="both"/>
        <w:rPr>
          <w:b/>
          <w:sz w:val="24"/>
          <w:szCs w:val="24"/>
        </w:rPr>
      </w:pPr>
      <w:r>
        <w:rPr>
          <w:b/>
          <w:sz w:val="24"/>
          <w:szCs w:val="24"/>
        </w:rPr>
        <w:t>(i) Si el profesor del alumno—</w:t>
      </w:r>
    </w:p>
    <w:p w:rsidR="004C5424" w:rsidRDefault="004854D8">
      <w:pPr>
        <w:ind w:left="1440"/>
        <w:jc w:val="both"/>
        <w:rPr>
          <w:b/>
          <w:sz w:val="24"/>
          <w:szCs w:val="24"/>
        </w:rPr>
      </w:pPr>
      <w:r>
        <w:rPr>
          <w:b/>
          <w:sz w:val="24"/>
          <w:szCs w:val="24"/>
        </w:rPr>
        <w:t>(I) ha cumplido con los criterios estatales de cualificación y licencia para los niveles escolares y áreas temáticas en las que el profesor imparte instrucción</w:t>
      </w:r>
    </w:p>
    <w:p w:rsidR="004C5424" w:rsidRDefault="004854D8">
      <w:pPr>
        <w:ind w:left="1440"/>
        <w:jc w:val="both"/>
        <w:rPr>
          <w:b/>
          <w:sz w:val="24"/>
          <w:szCs w:val="24"/>
        </w:rPr>
      </w:pPr>
      <w:r>
        <w:rPr>
          <w:b/>
          <w:sz w:val="24"/>
          <w:szCs w:val="24"/>
        </w:rPr>
        <w:t>(II) es la enseñanza bajo estatus de emergencia u otro estatus provisional mediante el cual se han eximido de la cualificación estatal ni de los criterios de licencia; y</w:t>
      </w:r>
    </w:p>
    <w:p w:rsidR="004C5424" w:rsidRDefault="004854D8">
      <w:pPr>
        <w:ind w:left="720" w:firstLine="720"/>
        <w:jc w:val="both"/>
        <w:rPr>
          <w:b/>
          <w:sz w:val="24"/>
          <w:szCs w:val="24"/>
        </w:rPr>
      </w:pPr>
      <w:r>
        <w:rPr>
          <w:b/>
          <w:sz w:val="24"/>
          <w:szCs w:val="24"/>
        </w:rPr>
        <w:t>(III) es la enseñanza en el campo disciplinario de la certificación del profesor.</w:t>
      </w:r>
    </w:p>
    <w:p w:rsidR="004C5424" w:rsidRDefault="004854D8">
      <w:pPr>
        <w:ind w:firstLine="720"/>
        <w:jc w:val="both"/>
        <w:rPr>
          <w:b/>
          <w:sz w:val="24"/>
          <w:szCs w:val="24"/>
        </w:rPr>
      </w:pPr>
      <w:r>
        <w:rPr>
          <w:b/>
          <w:sz w:val="24"/>
          <w:szCs w:val="24"/>
        </w:rPr>
        <w:t>(ii) Si el menor recibe servicios por parte de paraprofesionales y, en caso afirmativo, sus cualificaciones.</w:t>
      </w:r>
    </w:p>
    <w:p w:rsidR="004C5424" w:rsidRDefault="004854D8">
      <w:pPr>
        <w:ind w:firstLine="720"/>
        <w:jc w:val="both"/>
        <w:rPr>
          <w:b/>
          <w:sz w:val="24"/>
          <w:szCs w:val="24"/>
        </w:rPr>
      </w:pPr>
      <w:r>
        <w:rPr>
          <w:b/>
          <w:sz w:val="24"/>
          <w:szCs w:val="24"/>
        </w:rPr>
        <w:t xml:space="preserve">(B) INFORMACIÓN </w:t>
      </w:r>
      <w:proofErr w:type="gramStart"/>
      <w:r>
        <w:rPr>
          <w:b/>
          <w:sz w:val="24"/>
          <w:szCs w:val="24"/>
        </w:rPr>
        <w:t>ADICIONAL.—</w:t>
      </w:r>
      <w:proofErr w:type="gramEnd"/>
      <w:r>
        <w:rPr>
          <w:b/>
          <w:sz w:val="24"/>
          <w:szCs w:val="24"/>
        </w:rPr>
        <w:t>Además de la información que los padres puedan solicitar en virtud del subapartado (A), una escuela que reciba fondos bajo esta parte deberá proporcionar a cada padre individual de un niño que sea estudiante en dicha escuela, respecto a dicho estudiante—</w:t>
      </w:r>
    </w:p>
    <w:p w:rsidR="004C5424" w:rsidRDefault="004854D8">
      <w:pPr>
        <w:ind w:left="720" w:firstLine="720"/>
        <w:jc w:val="both"/>
        <w:rPr>
          <w:b/>
          <w:sz w:val="24"/>
          <w:szCs w:val="24"/>
        </w:rPr>
      </w:pPr>
      <w:r>
        <w:rPr>
          <w:b/>
          <w:sz w:val="24"/>
          <w:szCs w:val="24"/>
        </w:rPr>
        <w:lastRenderedPageBreak/>
        <w:t xml:space="preserve">(i) información sobre el nivel de logro y crecimiento académico del estudiante, si es aplicable y disponible, en cada una de las evaluaciones académicas estatales requeridas </w:t>
      </w:r>
      <w:proofErr w:type="spellStart"/>
      <w:r>
        <w:rPr>
          <w:b/>
          <w:sz w:val="24"/>
          <w:szCs w:val="24"/>
        </w:rPr>
        <w:t>en</w:t>
      </w:r>
      <w:proofErr w:type="spellEnd"/>
      <w:r>
        <w:rPr>
          <w:b/>
          <w:sz w:val="24"/>
          <w:szCs w:val="24"/>
        </w:rPr>
        <w:t xml:space="preserve"> </w:t>
      </w:r>
      <w:proofErr w:type="spellStart"/>
      <w:r>
        <w:rPr>
          <w:b/>
          <w:sz w:val="24"/>
          <w:szCs w:val="24"/>
        </w:rPr>
        <w:t>esta</w:t>
      </w:r>
      <w:proofErr w:type="spellEnd"/>
      <w:r>
        <w:rPr>
          <w:b/>
          <w:sz w:val="24"/>
          <w:szCs w:val="24"/>
        </w:rPr>
        <w:t xml:space="preserve"> </w:t>
      </w:r>
      <w:proofErr w:type="spellStart"/>
      <w:r>
        <w:rPr>
          <w:b/>
          <w:sz w:val="24"/>
          <w:szCs w:val="24"/>
        </w:rPr>
        <w:t>parte</w:t>
      </w:r>
      <w:proofErr w:type="spellEnd"/>
      <w:r>
        <w:rPr>
          <w:b/>
          <w:sz w:val="24"/>
          <w:szCs w:val="24"/>
        </w:rPr>
        <w:t>; y</w:t>
      </w:r>
    </w:p>
    <w:p w:rsidR="004C5424" w:rsidRDefault="004854D8">
      <w:pPr>
        <w:ind w:left="720" w:firstLine="720"/>
        <w:jc w:val="both"/>
        <w:rPr>
          <w:b/>
          <w:sz w:val="24"/>
          <w:szCs w:val="24"/>
        </w:rPr>
      </w:pPr>
      <w:r>
        <w:rPr>
          <w:b/>
          <w:sz w:val="24"/>
          <w:szCs w:val="24"/>
        </w:rPr>
        <w:t>(ii) aviso oportuno de que el estudiante ha sido asignado, o ha sido enseñado durante 4 o más semanas consecutivas, por un profesor que no cumpla con los requisitos estatales aplicables de certificación o licencia en el nivel escolar y área de estudio en la que se ha asignado al profesor</w:t>
      </w:r>
    </w:p>
    <w:p w:rsidR="004C5424" w:rsidRDefault="004854D8">
      <w:pPr>
        <w:jc w:val="both"/>
        <w:rPr>
          <w:b/>
          <w:color w:val="2E75B5"/>
          <w:sz w:val="24"/>
          <w:szCs w:val="24"/>
        </w:rPr>
      </w:pPr>
      <w:r>
        <w:br w:type="page"/>
      </w:r>
    </w:p>
    <w:p w:rsidR="004C5424" w:rsidRDefault="004854D8">
      <w:pPr>
        <w:jc w:val="both"/>
        <w:rPr>
          <w:b/>
          <w:sz w:val="24"/>
          <w:szCs w:val="24"/>
        </w:rPr>
      </w:pPr>
      <w:r>
        <w:rPr>
          <w:b/>
          <w:sz w:val="24"/>
          <w:szCs w:val="24"/>
        </w:rPr>
        <w:lastRenderedPageBreak/>
        <w:t>GARANTÍAS CONSOLIDADAS DE PLANES LEA</w:t>
      </w:r>
    </w:p>
    <w:p w:rsidR="004C5424" w:rsidRDefault="004854D8">
      <w:pPr>
        <w:jc w:val="both"/>
        <w:rPr>
          <w:sz w:val="24"/>
          <w:szCs w:val="24"/>
        </w:rPr>
      </w:pPr>
      <w:r>
        <w:rPr>
          <w:sz w:val="24"/>
          <w:szCs w:val="24"/>
        </w:rPr>
        <w:t>Cada plan de agencia educativa local proporcionará garantías de que la agencia educativa local—</w:t>
      </w:r>
    </w:p>
    <w:p w:rsidR="004C5424" w:rsidRDefault="004854D8">
      <w:pPr>
        <w:jc w:val="both"/>
        <w:rPr>
          <w:sz w:val="24"/>
          <w:szCs w:val="24"/>
        </w:rPr>
      </w:pPr>
      <w:r>
        <w:rPr>
          <w:sz w:val="24"/>
          <w:szCs w:val="24"/>
        </w:rPr>
        <w:t>(1) asegurar que los niños migratorios y los niños que hayan sido migratorios y que sean elegibles para recibir servicios bajo esta parte sean seleccionados para recibir dichos servicios en la misma base que otros niños seleccionados para recibir servicios bajo esta parte</w:t>
      </w:r>
    </w:p>
    <w:p w:rsidR="004C5424" w:rsidRDefault="004854D8">
      <w:pPr>
        <w:jc w:val="both"/>
        <w:rPr>
          <w:sz w:val="24"/>
          <w:szCs w:val="24"/>
        </w:rPr>
      </w:pPr>
      <w:r>
        <w:rPr>
          <w:sz w:val="24"/>
          <w:szCs w:val="24"/>
        </w:rPr>
        <w:t>(2) proporcionar servicios a niños elegibles que asistan a escuelas primarias y secundarias privadas conforme a la sección 1117, y consultar oportunamente y de manera significativa con responsables de escuelas privadas sobre dichos servicios</w:t>
      </w:r>
    </w:p>
    <w:p w:rsidR="004C5424" w:rsidRDefault="004854D8">
      <w:pPr>
        <w:jc w:val="both"/>
        <w:rPr>
          <w:sz w:val="24"/>
          <w:szCs w:val="24"/>
        </w:rPr>
      </w:pPr>
      <w:r>
        <w:rPr>
          <w:sz w:val="24"/>
          <w:szCs w:val="24"/>
        </w:rPr>
        <w:t>(3) participar, si es seleccionado, en la Evaluación Nacional del Progreso Educativo en lectura y matemáticas en 4º y 8º curso realizada conforme a la sección 303(b)(3) de la Ley de Autorización de Evaluación Nacional del Progreso Educativo (20 U.S.C.9622(b)(3))</w:t>
      </w:r>
    </w:p>
    <w:p w:rsidR="004C5424" w:rsidRDefault="004854D8">
      <w:pPr>
        <w:jc w:val="both"/>
        <w:rPr>
          <w:sz w:val="24"/>
          <w:szCs w:val="24"/>
        </w:rPr>
      </w:pPr>
      <w:r>
        <w:rPr>
          <w:sz w:val="24"/>
          <w:szCs w:val="24"/>
        </w:rPr>
        <w:t>(4) coordinar e integrar los servicios proporcionados en esta parte con otros servicios educativos a nivel de agencia educativa local o de escuelas individuales, como servicios para estudiantes de inglés, niños con discapacidades, niños migrantes, nativos americanos, nativos de Alaska y nativos hawaianos, así como niños y jóvenes sin hogar, con el fin de aumentar la eficacia del programa, eliminar duplicaciones y reducir la fragmentación del programa instruccional</w:t>
      </w:r>
    </w:p>
    <w:p w:rsidR="004C5424" w:rsidRDefault="004854D8">
      <w:pPr>
        <w:jc w:val="both"/>
        <w:rPr>
          <w:sz w:val="24"/>
          <w:szCs w:val="24"/>
        </w:rPr>
      </w:pPr>
      <w:r>
        <w:rPr>
          <w:sz w:val="24"/>
          <w:szCs w:val="24"/>
        </w:rPr>
        <w:t>(5) colaborar con la agencia estatal o local de bienestar infantil para—</w:t>
      </w:r>
    </w:p>
    <w:p w:rsidR="004C5424" w:rsidRDefault="004854D8">
      <w:pPr>
        <w:ind w:left="720"/>
        <w:jc w:val="both"/>
        <w:rPr>
          <w:sz w:val="24"/>
          <w:szCs w:val="24"/>
        </w:rPr>
      </w:pPr>
      <w:r>
        <w:rPr>
          <w:sz w:val="24"/>
          <w:szCs w:val="24"/>
        </w:rPr>
        <w:t>(A) designar un punto de contacto si la agencia de bienestar infantil correspondiente notifica por escrito a la agencia educativa local que la agencia ha designado a un empleado para actuar como punto de contacto para dicha agencia educativa local</w:t>
      </w:r>
    </w:p>
    <w:p w:rsidR="004C5424" w:rsidRDefault="004854D8">
      <w:pPr>
        <w:ind w:left="720"/>
        <w:jc w:val="both"/>
        <w:rPr>
          <w:sz w:val="24"/>
          <w:szCs w:val="24"/>
        </w:rPr>
      </w:pPr>
      <w:r>
        <w:rPr>
          <w:sz w:val="24"/>
          <w:szCs w:val="24"/>
        </w:rPr>
        <w:t xml:space="preserve">(B) a más tardar un año desde la fecha de promulgación de la Ley Every Student Succeeds Act, desarrollar e implementar procedimientos escritos claros que regulen cómo se proporcionará, organizará y financiará el transporte para mantener a los niños en acogida en su escuela de origen cuando sea en su mejor interés durante el tiempo en </w:t>
      </w:r>
      <w:proofErr w:type="gramStart"/>
      <w:r>
        <w:rPr>
          <w:sz w:val="24"/>
          <w:szCs w:val="24"/>
        </w:rPr>
        <w:t>acogida,  qué</w:t>
      </w:r>
      <w:proofErr w:type="gramEnd"/>
      <w:r>
        <w:rPr>
          <w:sz w:val="24"/>
          <w:szCs w:val="24"/>
        </w:rPr>
        <w:t xml:space="preserve"> procedimientos deberán—</w:t>
      </w:r>
    </w:p>
    <w:p w:rsidR="004C5424" w:rsidRDefault="004854D8">
      <w:pPr>
        <w:ind w:left="1440"/>
        <w:jc w:val="both"/>
        <w:rPr>
          <w:sz w:val="24"/>
          <w:szCs w:val="24"/>
        </w:rPr>
      </w:pPr>
      <w:r>
        <w:rPr>
          <w:sz w:val="24"/>
          <w:szCs w:val="24"/>
        </w:rPr>
        <w:t>(i) garantizar que los niños en acogida que necesiten transporte a la escuela de origen reciban transporte de manera rentable y conforme a la sección 475(4)(A) de la Ley de Seguridad Social (42 U.S.C. 675(4)(A))</w:t>
      </w:r>
    </w:p>
    <w:p w:rsidR="004C5424" w:rsidRDefault="004854D8">
      <w:pPr>
        <w:ind w:left="1440"/>
        <w:jc w:val="both"/>
        <w:rPr>
          <w:sz w:val="24"/>
          <w:szCs w:val="24"/>
        </w:rPr>
      </w:pPr>
      <w:r>
        <w:rPr>
          <w:sz w:val="24"/>
          <w:szCs w:val="24"/>
        </w:rPr>
        <w:t>(ii) garantizar que, si existen costes adicionales para proporcionar transporte para mantener a los niños en acogida en sus escuelas de origen, la agencia educativa local proporcionará transporte a la escuela de origen si—</w:t>
      </w:r>
    </w:p>
    <w:p w:rsidR="004C5424" w:rsidRDefault="004854D8">
      <w:pPr>
        <w:ind w:left="1440" w:firstLine="720"/>
        <w:jc w:val="both"/>
        <w:rPr>
          <w:sz w:val="24"/>
          <w:szCs w:val="24"/>
        </w:rPr>
      </w:pPr>
      <w:r>
        <w:rPr>
          <w:sz w:val="24"/>
          <w:szCs w:val="24"/>
        </w:rPr>
        <w:lastRenderedPageBreak/>
        <w:t>(I) la agencia local de bienestar infantil acepta reembolsar a la agencia educativa local el coste de dicho transporte;</w:t>
      </w:r>
    </w:p>
    <w:p w:rsidR="004C5424" w:rsidRDefault="004854D8">
      <w:pPr>
        <w:ind w:left="1440" w:firstLine="720"/>
        <w:jc w:val="both"/>
        <w:rPr>
          <w:sz w:val="24"/>
          <w:szCs w:val="24"/>
        </w:rPr>
      </w:pPr>
      <w:r>
        <w:rPr>
          <w:sz w:val="24"/>
          <w:szCs w:val="24"/>
        </w:rPr>
        <w:t>(II) la agencia educativa local acepta pagar el coste de dicho transporte; o</w:t>
      </w:r>
    </w:p>
    <w:p w:rsidR="004C5424" w:rsidRDefault="004854D8">
      <w:pPr>
        <w:ind w:left="1440" w:firstLine="720"/>
        <w:jc w:val="both"/>
        <w:rPr>
          <w:sz w:val="24"/>
          <w:szCs w:val="24"/>
        </w:rPr>
      </w:pPr>
      <w:r>
        <w:rPr>
          <w:sz w:val="24"/>
          <w:szCs w:val="24"/>
        </w:rPr>
        <w:t>(III) la agencia educativa local y la agencia local de bienestar infantil acuerden compartir el coste de dicho transporte</w:t>
      </w:r>
    </w:p>
    <w:p w:rsidR="004C5424" w:rsidRDefault="004854D8">
      <w:pPr>
        <w:jc w:val="both"/>
        <w:rPr>
          <w:sz w:val="24"/>
          <w:szCs w:val="24"/>
        </w:rPr>
      </w:pPr>
      <w:r>
        <w:rPr>
          <w:sz w:val="24"/>
          <w:szCs w:val="24"/>
        </w:rPr>
        <w:t>(6) garantizar que todos los profesores y paraprofesionales que trabajen en un programa apoyado con fondos bajo esta parte cumplan con los requisitos estatales aplicables de certificación y licencias, incluyendo cualquier requisito para obtener la certificación mediante vías alternativas a la certificación</w:t>
      </w:r>
    </w:p>
    <w:p w:rsidR="004C5424" w:rsidRDefault="004854D8">
      <w:pPr>
        <w:jc w:val="both"/>
        <w:rPr>
          <w:sz w:val="24"/>
          <w:szCs w:val="24"/>
        </w:rPr>
      </w:pPr>
      <w:r>
        <w:rPr>
          <w:sz w:val="24"/>
          <w:szCs w:val="24"/>
        </w:rPr>
        <w:t>(7) en el caso de una agencia educativa local que decida utilizar fondos de esta parte para proporcionar servicios de educación infantil a niños de bajos ingresos menores de la edad de asistencia escolar obligatoria, asegurarse de que dichos servicios cumplan con los estándares de rendimiento establecidos en la sección 641A(a) de la Ley Head Start (42 U.S.C. 9836a(a))</w:t>
      </w:r>
    </w:p>
    <w:p w:rsidR="004C5424" w:rsidRDefault="004C5424">
      <w:pPr>
        <w:jc w:val="both"/>
        <w:rPr>
          <w:b/>
          <w:sz w:val="24"/>
          <w:szCs w:val="24"/>
        </w:rPr>
      </w:pPr>
    </w:p>
    <w:p w:rsidR="004C5424" w:rsidRDefault="004C5424">
      <w:pPr>
        <w:jc w:val="both"/>
        <w:rPr>
          <w:b/>
          <w:sz w:val="24"/>
          <w:szCs w:val="24"/>
        </w:rPr>
      </w:pPr>
    </w:p>
    <w:p w:rsidR="004C5424" w:rsidRDefault="004C5424">
      <w:pPr>
        <w:jc w:val="both"/>
        <w:rPr>
          <w:b/>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rPr>
          <w:rFonts w:ascii="Times New Roman" w:eastAsia="Times New Roman" w:hAnsi="Times New Roman" w:cs="Times New Roman"/>
          <w:sz w:val="20"/>
          <w:szCs w:val="20"/>
        </w:rPr>
      </w:pPr>
    </w:p>
    <w:sectPr w:rsidR="004C5424">
      <w:footerReference w:type="default" r:id="rId8"/>
      <w:footerReference w:type="first" r:id="rId9"/>
      <w:pgSz w:w="12240" w:h="15840"/>
      <w:pgMar w:top="720" w:right="1440" w:bottom="72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1A25" w:rsidRDefault="00E01A25">
      <w:pPr>
        <w:spacing w:after="0" w:line="240" w:lineRule="auto"/>
      </w:pPr>
      <w:r>
        <w:separator/>
      </w:r>
    </w:p>
  </w:endnote>
  <w:endnote w:type="continuationSeparator" w:id="0">
    <w:p w:rsidR="00E01A25" w:rsidRDefault="00E01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287E" w:rsidRDefault="00C76942">
    <w:pPr>
      <w:tabs>
        <w:tab w:val="center" w:pos="4680"/>
        <w:tab w:val="right" w:pos="9360"/>
      </w:tabs>
      <w:spacing w:after="920"/>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6442922"/>
      <w:docPartObj>
        <w:docPartGallery w:val="Page Numbers (Bottom of Page)"/>
        <w:docPartUnique/>
      </w:docPartObj>
    </w:sdtPr>
    <w:sdtEndPr>
      <w:rPr>
        <w:noProof/>
      </w:rPr>
    </w:sdtEndPr>
    <w:sdtContent>
      <w:p w:rsidR="00C76942" w:rsidRDefault="00E01A25">
        <w:pPr>
          <w:pStyle w:val="Footer"/>
          <w:jc w:val="right"/>
        </w:pPr>
      </w:p>
    </w:sdtContent>
  </w:sdt>
  <w:p w:rsidR="00C76942" w:rsidRDefault="00C76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1A25" w:rsidRDefault="00E01A25">
      <w:pPr>
        <w:spacing w:after="0" w:line="240" w:lineRule="auto"/>
      </w:pPr>
      <w:r>
        <w:separator/>
      </w:r>
    </w:p>
  </w:footnote>
  <w:footnote w:type="continuationSeparator" w:id="0">
    <w:p w:rsidR="00E01A25" w:rsidRDefault="00E01A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735"/>
    <w:multiLevelType w:val="multilevel"/>
    <w:tmpl w:val="FD180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07184"/>
    <w:multiLevelType w:val="multilevel"/>
    <w:tmpl w:val="2E1EBB7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11732437"/>
    <w:multiLevelType w:val="multilevel"/>
    <w:tmpl w:val="26FAAD34"/>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15:restartNumberingAfterBreak="0">
    <w:nsid w:val="13820C83"/>
    <w:multiLevelType w:val="multilevel"/>
    <w:tmpl w:val="581CA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3510BE"/>
    <w:multiLevelType w:val="hybridMultilevel"/>
    <w:tmpl w:val="E1AC2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97FFB"/>
    <w:multiLevelType w:val="hybridMultilevel"/>
    <w:tmpl w:val="2A042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A45BD"/>
    <w:multiLevelType w:val="multilevel"/>
    <w:tmpl w:val="5972DA8A"/>
    <w:lvl w:ilvl="0">
      <w:start w:val="1"/>
      <w:numFmt w:val="bullet"/>
      <w:lvlText w:val="●"/>
      <w:lvlJc w:val="left"/>
      <w:pPr>
        <w:ind w:left="1080" w:hanging="360"/>
      </w:pPr>
      <w:rPr>
        <w:rFonts w:ascii="Arial" w:eastAsia="Arial" w:hAnsi="Arial" w:cs="Arial"/>
        <w:sz w:val="20"/>
        <w:szCs w:val="20"/>
        <w:vertAlign w:val="baseline"/>
      </w:rPr>
    </w:lvl>
    <w:lvl w:ilvl="1">
      <w:start w:val="1"/>
      <w:numFmt w:val="bullet"/>
      <w:lvlText w:val="o"/>
      <w:lvlJc w:val="left"/>
      <w:pPr>
        <w:ind w:left="1800" w:hanging="360"/>
      </w:pPr>
      <w:rPr>
        <w:rFonts w:ascii="Arial" w:eastAsia="Arial" w:hAnsi="Arial" w:cs="Arial"/>
        <w:vertAlign w:val="baseline"/>
      </w:rPr>
    </w:lvl>
    <w:lvl w:ilvl="2">
      <w:start w:val="1"/>
      <w:numFmt w:val="bullet"/>
      <w:lvlText w:val="▪"/>
      <w:lvlJc w:val="left"/>
      <w:pPr>
        <w:ind w:left="2520" w:hanging="360"/>
      </w:pPr>
      <w:rPr>
        <w:rFonts w:ascii="Arial" w:eastAsia="Arial" w:hAnsi="Arial" w:cs="Arial"/>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abstractNum w:abstractNumId="7" w15:restartNumberingAfterBreak="0">
    <w:nsid w:val="244D5187"/>
    <w:multiLevelType w:val="multilevel"/>
    <w:tmpl w:val="EF90E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A8649C"/>
    <w:multiLevelType w:val="multilevel"/>
    <w:tmpl w:val="1706A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DE1303"/>
    <w:multiLevelType w:val="multilevel"/>
    <w:tmpl w:val="34E0F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C509B0"/>
    <w:multiLevelType w:val="multilevel"/>
    <w:tmpl w:val="97DC7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6004AB"/>
    <w:multiLevelType w:val="multilevel"/>
    <w:tmpl w:val="AA7A9FEE"/>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2" w15:restartNumberingAfterBreak="0">
    <w:nsid w:val="2EC21258"/>
    <w:multiLevelType w:val="multilevel"/>
    <w:tmpl w:val="EBBAD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0CE0398"/>
    <w:multiLevelType w:val="multilevel"/>
    <w:tmpl w:val="1870D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8850BAC"/>
    <w:multiLevelType w:val="multilevel"/>
    <w:tmpl w:val="EE72130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39CB6326"/>
    <w:multiLevelType w:val="multilevel"/>
    <w:tmpl w:val="D3A6FED2"/>
    <w:lvl w:ilvl="0">
      <w:start w:val="1"/>
      <w:numFmt w:val="upperLetter"/>
      <w:lvlText w:val="%1."/>
      <w:lvlJc w:val="left"/>
      <w:pPr>
        <w:ind w:left="9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253DE4"/>
    <w:multiLevelType w:val="multilevel"/>
    <w:tmpl w:val="44EA4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CFC4F3A"/>
    <w:multiLevelType w:val="multilevel"/>
    <w:tmpl w:val="3EC8F81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FD2C85"/>
    <w:multiLevelType w:val="hybridMultilevel"/>
    <w:tmpl w:val="792066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5E4D2A"/>
    <w:multiLevelType w:val="hybridMultilevel"/>
    <w:tmpl w:val="FE0E2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80A22"/>
    <w:multiLevelType w:val="multilevel"/>
    <w:tmpl w:val="CA0A87D2"/>
    <w:lvl w:ilvl="0">
      <w:start w:val="1"/>
      <w:numFmt w:val="bullet"/>
      <w:lvlText w:val="●"/>
      <w:lvlJc w:val="left"/>
      <w:pPr>
        <w:ind w:left="1800" w:hanging="360"/>
      </w:pPr>
      <w:rPr>
        <w:rFonts w:ascii="Arial" w:eastAsia="Arial" w:hAnsi="Arial" w:cs="Arial"/>
      </w:rPr>
    </w:lvl>
    <w:lvl w:ilvl="1">
      <w:start w:val="1"/>
      <w:numFmt w:val="bullet"/>
      <w:lvlText w:val="o"/>
      <w:lvlJc w:val="left"/>
      <w:pPr>
        <w:ind w:left="2520" w:hanging="360"/>
      </w:pPr>
      <w:rPr>
        <w:rFonts w:ascii="Arial" w:eastAsia="Arial" w:hAnsi="Arial" w:cs="Arial"/>
      </w:rPr>
    </w:lvl>
    <w:lvl w:ilvl="2">
      <w:start w:val="1"/>
      <w:numFmt w:val="bullet"/>
      <w:lvlText w:val="▪"/>
      <w:lvlJc w:val="left"/>
      <w:pPr>
        <w:ind w:left="3240" w:hanging="360"/>
      </w:pPr>
      <w:rPr>
        <w:rFonts w:ascii="Arial" w:eastAsia="Arial" w:hAnsi="Arial" w:cs="Arial"/>
      </w:rPr>
    </w:lvl>
    <w:lvl w:ilvl="3">
      <w:start w:val="1"/>
      <w:numFmt w:val="bullet"/>
      <w:lvlText w:val="●"/>
      <w:lvlJc w:val="left"/>
      <w:pPr>
        <w:ind w:left="3960" w:hanging="360"/>
      </w:pPr>
      <w:rPr>
        <w:rFonts w:ascii="Arial" w:eastAsia="Arial" w:hAnsi="Arial" w:cs="Arial"/>
      </w:rPr>
    </w:lvl>
    <w:lvl w:ilvl="4">
      <w:start w:val="1"/>
      <w:numFmt w:val="bullet"/>
      <w:lvlText w:val="o"/>
      <w:lvlJc w:val="left"/>
      <w:pPr>
        <w:ind w:left="4680" w:hanging="360"/>
      </w:pPr>
      <w:rPr>
        <w:rFonts w:ascii="Arial" w:eastAsia="Arial" w:hAnsi="Arial" w:cs="Arial"/>
      </w:rPr>
    </w:lvl>
    <w:lvl w:ilvl="5">
      <w:start w:val="1"/>
      <w:numFmt w:val="bullet"/>
      <w:lvlText w:val="▪"/>
      <w:lvlJc w:val="left"/>
      <w:pPr>
        <w:ind w:left="5400" w:hanging="360"/>
      </w:pPr>
      <w:rPr>
        <w:rFonts w:ascii="Arial" w:eastAsia="Arial" w:hAnsi="Arial" w:cs="Arial"/>
      </w:rPr>
    </w:lvl>
    <w:lvl w:ilvl="6">
      <w:start w:val="1"/>
      <w:numFmt w:val="bullet"/>
      <w:lvlText w:val="●"/>
      <w:lvlJc w:val="left"/>
      <w:pPr>
        <w:ind w:left="6120" w:hanging="360"/>
      </w:pPr>
      <w:rPr>
        <w:rFonts w:ascii="Arial" w:eastAsia="Arial" w:hAnsi="Arial" w:cs="Arial"/>
      </w:rPr>
    </w:lvl>
    <w:lvl w:ilvl="7">
      <w:start w:val="1"/>
      <w:numFmt w:val="bullet"/>
      <w:lvlText w:val="o"/>
      <w:lvlJc w:val="left"/>
      <w:pPr>
        <w:ind w:left="6840" w:hanging="360"/>
      </w:pPr>
      <w:rPr>
        <w:rFonts w:ascii="Arial" w:eastAsia="Arial" w:hAnsi="Arial" w:cs="Arial"/>
      </w:rPr>
    </w:lvl>
    <w:lvl w:ilvl="8">
      <w:start w:val="1"/>
      <w:numFmt w:val="bullet"/>
      <w:lvlText w:val="▪"/>
      <w:lvlJc w:val="left"/>
      <w:pPr>
        <w:ind w:left="7560" w:hanging="360"/>
      </w:pPr>
      <w:rPr>
        <w:rFonts w:ascii="Arial" w:eastAsia="Arial" w:hAnsi="Arial" w:cs="Arial"/>
      </w:rPr>
    </w:lvl>
  </w:abstractNum>
  <w:abstractNum w:abstractNumId="21" w15:restartNumberingAfterBreak="0">
    <w:nsid w:val="528A322B"/>
    <w:multiLevelType w:val="multilevel"/>
    <w:tmpl w:val="C8F4C1C2"/>
    <w:lvl w:ilvl="0">
      <w:start w:val="1"/>
      <w:numFmt w:val="bullet"/>
      <w:lvlText w:val="●"/>
      <w:lvlJc w:val="left"/>
      <w:pPr>
        <w:ind w:left="825" w:hanging="360"/>
      </w:pPr>
      <w:rPr>
        <w:rFonts w:ascii="Arial" w:eastAsia="Arial" w:hAnsi="Arial" w:cs="Arial"/>
      </w:rPr>
    </w:lvl>
    <w:lvl w:ilvl="1">
      <w:start w:val="1"/>
      <w:numFmt w:val="bullet"/>
      <w:lvlText w:val="o"/>
      <w:lvlJc w:val="left"/>
      <w:pPr>
        <w:ind w:left="1545" w:hanging="360"/>
      </w:pPr>
      <w:rPr>
        <w:rFonts w:ascii="Arial" w:eastAsia="Arial" w:hAnsi="Arial" w:cs="Arial"/>
      </w:rPr>
    </w:lvl>
    <w:lvl w:ilvl="2">
      <w:start w:val="1"/>
      <w:numFmt w:val="bullet"/>
      <w:lvlText w:val="▪"/>
      <w:lvlJc w:val="left"/>
      <w:pPr>
        <w:ind w:left="2265" w:hanging="360"/>
      </w:pPr>
      <w:rPr>
        <w:rFonts w:ascii="Arial" w:eastAsia="Arial" w:hAnsi="Arial" w:cs="Arial"/>
      </w:rPr>
    </w:lvl>
    <w:lvl w:ilvl="3">
      <w:start w:val="1"/>
      <w:numFmt w:val="bullet"/>
      <w:lvlText w:val="●"/>
      <w:lvlJc w:val="left"/>
      <w:pPr>
        <w:ind w:left="2985" w:hanging="360"/>
      </w:pPr>
      <w:rPr>
        <w:rFonts w:ascii="Arial" w:eastAsia="Arial" w:hAnsi="Arial" w:cs="Arial"/>
      </w:rPr>
    </w:lvl>
    <w:lvl w:ilvl="4">
      <w:start w:val="1"/>
      <w:numFmt w:val="bullet"/>
      <w:lvlText w:val="o"/>
      <w:lvlJc w:val="left"/>
      <w:pPr>
        <w:ind w:left="3705" w:hanging="360"/>
      </w:pPr>
      <w:rPr>
        <w:rFonts w:ascii="Arial" w:eastAsia="Arial" w:hAnsi="Arial" w:cs="Arial"/>
      </w:rPr>
    </w:lvl>
    <w:lvl w:ilvl="5">
      <w:start w:val="1"/>
      <w:numFmt w:val="bullet"/>
      <w:lvlText w:val="▪"/>
      <w:lvlJc w:val="left"/>
      <w:pPr>
        <w:ind w:left="4425" w:hanging="360"/>
      </w:pPr>
      <w:rPr>
        <w:rFonts w:ascii="Arial" w:eastAsia="Arial" w:hAnsi="Arial" w:cs="Arial"/>
      </w:rPr>
    </w:lvl>
    <w:lvl w:ilvl="6">
      <w:start w:val="1"/>
      <w:numFmt w:val="bullet"/>
      <w:lvlText w:val="●"/>
      <w:lvlJc w:val="left"/>
      <w:pPr>
        <w:ind w:left="5145" w:hanging="360"/>
      </w:pPr>
      <w:rPr>
        <w:rFonts w:ascii="Arial" w:eastAsia="Arial" w:hAnsi="Arial" w:cs="Arial"/>
      </w:rPr>
    </w:lvl>
    <w:lvl w:ilvl="7">
      <w:start w:val="1"/>
      <w:numFmt w:val="bullet"/>
      <w:lvlText w:val="o"/>
      <w:lvlJc w:val="left"/>
      <w:pPr>
        <w:ind w:left="5865" w:hanging="360"/>
      </w:pPr>
      <w:rPr>
        <w:rFonts w:ascii="Arial" w:eastAsia="Arial" w:hAnsi="Arial" w:cs="Arial"/>
      </w:rPr>
    </w:lvl>
    <w:lvl w:ilvl="8">
      <w:start w:val="1"/>
      <w:numFmt w:val="bullet"/>
      <w:lvlText w:val="▪"/>
      <w:lvlJc w:val="left"/>
      <w:pPr>
        <w:ind w:left="6585" w:hanging="360"/>
      </w:pPr>
      <w:rPr>
        <w:rFonts w:ascii="Arial" w:eastAsia="Arial" w:hAnsi="Arial" w:cs="Arial"/>
      </w:rPr>
    </w:lvl>
  </w:abstractNum>
  <w:abstractNum w:abstractNumId="22" w15:restartNumberingAfterBreak="0">
    <w:nsid w:val="52F24493"/>
    <w:multiLevelType w:val="multilevel"/>
    <w:tmpl w:val="ED5C6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5316E8C"/>
    <w:multiLevelType w:val="hybridMultilevel"/>
    <w:tmpl w:val="8FFAF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284687"/>
    <w:multiLevelType w:val="multilevel"/>
    <w:tmpl w:val="F07A3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B353E2A"/>
    <w:multiLevelType w:val="hybridMultilevel"/>
    <w:tmpl w:val="3BB86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3A875BE"/>
    <w:multiLevelType w:val="multilevel"/>
    <w:tmpl w:val="BAA03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4210741"/>
    <w:multiLevelType w:val="multilevel"/>
    <w:tmpl w:val="EC842C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2900CF"/>
    <w:multiLevelType w:val="multilevel"/>
    <w:tmpl w:val="88407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FCB0E1F"/>
    <w:multiLevelType w:val="multilevel"/>
    <w:tmpl w:val="C454738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0" w15:restartNumberingAfterBreak="0">
    <w:nsid w:val="71837210"/>
    <w:multiLevelType w:val="hybridMultilevel"/>
    <w:tmpl w:val="D3503370"/>
    <w:lvl w:ilvl="0" w:tplc="02C0FB8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61126E"/>
    <w:multiLevelType w:val="multilevel"/>
    <w:tmpl w:val="6180D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8B62228"/>
    <w:multiLevelType w:val="multilevel"/>
    <w:tmpl w:val="17103D3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3" w15:restartNumberingAfterBreak="0">
    <w:nsid w:val="7A0145F4"/>
    <w:multiLevelType w:val="multilevel"/>
    <w:tmpl w:val="E9FAD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24"/>
  </w:num>
  <w:num w:numId="3">
    <w:abstractNumId w:val="27"/>
  </w:num>
  <w:num w:numId="4">
    <w:abstractNumId w:val="15"/>
  </w:num>
  <w:num w:numId="5">
    <w:abstractNumId w:val="9"/>
  </w:num>
  <w:num w:numId="6">
    <w:abstractNumId w:val="13"/>
  </w:num>
  <w:num w:numId="7">
    <w:abstractNumId w:val="16"/>
  </w:num>
  <w:num w:numId="8">
    <w:abstractNumId w:val="3"/>
  </w:num>
  <w:num w:numId="9">
    <w:abstractNumId w:val="26"/>
  </w:num>
  <w:num w:numId="10">
    <w:abstractNumId w:val="12"/>
  </w:num>
  <w:num w:numId="11">
    <w:abstractNumId w:val="7"/>
  </w:num>
  <w:num w:numId="12">
    <w:abstractNumId w:val="11"/>
  </w:num>
  <w:num w:numId="13">
    <w:abstractNumId w:val="32"/>
  </w:num>
  <w:num w:numId="14">
    <w:abstractNumId w:val="29"/>
  </w:num>
  <w:num w:numId="15">
    <w:abstractNumId w:val="17"/>
  </w:num>
  <w:num w:numId="16">
    <w:abstractNumId w:val="20"/>
  </w:num>
  <w:num w:numId="17">
    <w:abstractNumId w:val="0"/>
  </w:num>
  <w:num w:numId="18">
    <w:abstractNumId w:val="31"/>
  </w:num>
  <w:num w:numId="19">
    <w:abstractNumId w:val="10"/>
  </w:num>
  <w:num w:numId="20">
    <w:abstractNumId w:val="28"/>
  </w:num>
  <w:num w:numId="21">
    <w:abstractNumId w:val="22"/>
  </w:num>
  <w:num w:numId="22">
    <w:abstractNumId w:val="33"/>
  </w:num>
  <w:num w:numId="23">
    <w:abstractNumId w:val="8"/>
  </w:num>
  <w:num w:numId="24">
    <w:abstractNumId w:val="2"/>
  </w:num>
  <w:num w:numId="25">
    <w:abstractNumId w:val="1"/>
  </w:num>
  <w:num w:numId="26">
    <w:abstractNumId w:val="6"/>
  </w:num>
  <w:num w:numId="27">
    <w:abstractNumId w:val="14"/>
  </w:num>
  <w:num w:numId="28">
    <w:abstractNumId w:val="4"/>
  </w:num>
  <w:num w:numId="29">
    <w:abstractNumId w:val="18"/>
  </w:num>
  <w:num w:numId="30">
    <w:abstractNumId w:val="23"/>
  </w:num>
  <w:num w:numId="31">
    <w:abstractNumId w:val="5"/>
  </w:num>
  <w:num w:numId="32">
    <w:abstractNumId w:val="25"/>
  </w:num>
  <w:num w:numId="33">
    <w:abstractNumId w:val="19"/>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424"/>
    <w:rsid w:val="00000262"/>
    <w:rsid w:val="00024BD3"/>
    <w:rsid w:val="00044284"/>
    <w:rsid w:val="00047818"/>
    <w:rsid w:val="000903EC"/>
    <w:rsid w:val="000A6B06"/>
    <w:rsid w:val="0012296A"/>
    <w:rsid w:val="00131F0D"/>
    <w:rsid w:val="00156C71"/>
    <w:rsid w:val="001610FD"/>
    <w:rsid w:val="001A2B33"/>
    <w:rsid w:val="00273C27"/>
    <w:rsid w:val="0027535D"/>
    <w:rsid w:val="00295E55"/>
    <w:rsid w:val="002B4034"/>
    <w:rsid w:val="002B4AC9"/>
    <w:rsid w:val="003218BC"/>
    <w:rsid w:val="00334EB9"/>
    <w:rsid w:val="00363AEE"/>
    <w:rsid w:val="00373FB0"/>
    <w:rsid w:val="00377175"/>
    <w:rsid w:val="00380577"/>
    <w:rsid w:val="003A1237"/>
    <w:rsid w:val="003C4775"/>
    <w:rsid w:val="003D0E3D"/>
    <w:rsid w:val="003E7F2B"/>
    <w:rsid w:val="00430F66"/>
    <w:rsid w:val="00442572"/>
    <w:rsid w:val="004854D8"/>
    <w:rsid w:val="004948F5"/>
    <w:rsid w:val="004961C0"/>
    <w:rsid w:val="004B62D8"/>
    <w:rsid w:val="004C5424"/>
    <w:rsid w:val="004E6D0C"/>
    <w:rsid w:val="00526B9B"/>
    <w:rsid w:val="00535E70"/>
    <w:rsid w:val="00570340"/>
    <w:rsid w:val="005759B8"/>
    <w:rsid w:val="00592AE5"/>
    <w:rsid w:val="005C4C61"/>
    <w:rsid w:val="005D79FF"/>
    <w:rsid w:val="005E57CC"/>
    <w:rsid w:val="006010E0"/>
    <w:rsid w:val="00617D75"/>
    <w:rsid w:val="00626A56"/>
    <w:rsid w:val="0063341C"/>
    <w:rsid w:val="00636BCD"/>
    <w:rsid w:val="00687A2E"/>
    <w:rsid w:val="006961E2"/>
    <w:rsid w:val="006A3F31"/>
    <w:rsid w:val="006A6F7C"/>
    <w:rsid w:val="006C1D15"/>
    <w:rsid w:val="00712DE3"/>
    <w:rsid w:val="00713EBB"/>
    <w:rsid w:val="00733A48"/>
    <w:rsid w:val="00754427"/>
    <w:rsid w:val="007A2841"/>
    <w:rsid w:val="007A6FFD"/>
    <w:rsid w:val="007D1F86"/>
    <w:rsid w:val="007E448A"/>
    <w:rsid w:val="007F5A09"/>
    <w:rsid w:val="00803F74"/>
    <w:rsid w:val="00815B27"/>
    <w:rsid w:val="0081731E"/>
    <w:rsid w:val="0083763C"/>
    <w:rsid w:val="00847E2C"/>
    <w:rsid w:val="00861923"/>
    <w:rsid w:val="008622B0"/>
    <w:rsid w:val="0087482A"/>
    <w:rsid w:val="008C666A"/>
    <w:rsid w:val="008D6501"/>
    <w:rsid w:val="008E42F7"/>
    <w:rsid w:val="008F4B05"/>
    <w:rsid w:val="008F4E4E"/>
    <w:rsid w:val="00950360"/>
    <w:rsid w:val="00955EEB"/>
    <w:rsid w:val="00961D64"/>
    <w:rsid w:val="009648F5"/>
    <w:rsid w:val="009A1D6E"/>
    <w:rsid w:val="009A7A70"/>
    <w:rsid w:val="009D735D"/>
    <w:rsid w:val="009E6135"/>
    <w:rsid w:val="00A13046"/>
    <w:rsid w:val="00A57179"/>
    <w:rsid w:val="00A758A0"/>
    <w:rsid w:val="00A77E84"/>
    <w:rsid w:val="00A868B7"/>
    <w:rsid w:val="00A90318"/>
    <w:rsid w:val="00A9200A"/>
    <w:rsid w:val="00AF205E"/>
    <w:rsid w:val="00B010D3"/>
    <w:rsid w:val="00B11919"/>
    <w:rsid w:val="00B976BB"/>
    <w:rsid w:val="00BA3091"/>
    <w:rsid w:val="00BB5B9B"/>
    <w:rsid w:val="00BC43A1"/>
    <w:rsid w:val="00BE1EE1"/>
    <w:rsid w:val="00BF51D5"/>
    <w:rsid w:val="00C016F3"/>
    <w:rsid w:val="00C02A8B"/>
    <w:rsid w:val="00C2287E"/>
    <w:rsid w:val="00C53C45"/>
    <w:rsid w:val="00C76942"/>
    <w:rsid w:val="00C80470"/>
    <w:rsid w:val="00C95389"/>
    <w:rsid w:val="00CA3475"/>
    <w:rsid w:val="00CB3AD3"/>
    <w:rsid w:val="00CC20AE"/>
    <w:rsid w:val="00CD5B9F"/>
    <w:rsid w:val="00CE4CFA"/>
    <w:rsid w:val="00CF0B00"/>
    <w:rsid w:val="00CF17CE"/>
    <w:rsid w:val="00D140B6"/>
    <w:rsid w:val="00D16FAB"/>
    <w:rsid w:val="00D17D32"/>
    <w:rsid w:val="00D216D0"/>
    <w:rsid w:val="00D2452F"/>
    <w:rsid w:val="00D270A3"/>
    <w:rsid w:val="00D536D1"/>
    <w:rsid w:val="00D70DC4"/>
    <w:rsid w:val="00D74A8F"/>
    <w:rsid w:val="00DB1C57"/>
    <w:rsid w:val="00DB326D"/>
    <w:rsid w:val="00DB7389"/>
    <w:rsid w:val="00DC73AC"/>
    <w:rsid w:val="00E01A25"/>
    <w:rsid w:val="00E20578"/>
    <w:rsid w:val="00E2243F"/>
    <w:rsid w:val="00E672CF"/>
    <w:rsid w:val="00E82A9A"/>
    <w:rsid w:val="00EA15B0"/>
    <w:rsid w:val="00EA23C6"/>
    <w:rsid w:val="00EB55AE"/>
    <w:rsid w:val="00EB7559"/>
    <w:rsid w:val="00F225D6"/>
    <w:rsid w:val="00F42604"/>
    <w:rsid w:val="00F430E3"/>
    <w:rsid w:val="00F62309"/>
    <w:rsid w:val="00F7675B"/>
    <w:rsid w:val="00FB03C3"/>
    <w:rsid w:val="00FD2F02"/>
    <w:rsid w:val="00FE1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657EC7-0094-474B-A508-531DC083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A6F7C"/>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955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EEB"/>
    <w:rPr>
      <w:rFonts w:ascii="Tahoma" w:hAnsi="Tahoma" w:cs="Tahoma"/>
      <w:sz w:val="16"/>
      <w:szCs w:val="16"/>
    </w:rPr>
  </w:style>
  <w:style w:type="paragraph" w:styleId="ListParagraph">
    <w:name w:val="List Paragraph"/>
    <w:basedOn w:val="Normal"/>
    <w:uiPriority w:val="34"/>
    <w:qFormat/>
    <w:rsid w:val="007F5A09"/>
    <w:pPr>
      <w:ind w:left="720"/>
      <w:contextualSpacing/>
    </w:pPr>
  </w:style>
  <w:style w:type="character" w:customStyle="1" w:styleId="Heading7Char">
    <w:name w:val="Heading 7 Char"/>
    <w:basedOn w:val="DefaultParagraphFont"/>
    <w:link w:val="Heading7"/>
    <w:uiPriority w:val="9"/>
    <w:rsid w:val="006A6F7C"/>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C76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942"/>
  </w:style>
  <w:style w:type="paragraph" w:styleId="Footer">
    <w:name w:val="footer"/>
    <w:basedOn w:val="Normal"/>
    <w:link w:val="FooterChar"/>
    <w:uiPriority w:val="99"/>
    <w:unhideWhenUsed/>
    <w:rsid w:val="00C76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942"/>
  </w:style>
  <w:style w:type="character" w:styleId="PlaceholderText">
    <w:name w:val="Placeholder Text"/>
    <w:basedOn w:val="DefaultParagraphFont"/>
    <w:uiPriority w:val="99"/>
    <w:semiHidden/>
    <w:rsid w:val="00131F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612990">
      <w:bodyDiv w:val="1"/>
      <w:marLeft w:val="0"/>
      <w:marRight w:val="0"/>
      <w:marTop w:val="0"/>
      <w:marBottom w:val="0"/>
      <w:divBdr>
        <w:top w:val="none" w:sz="0" w:space="0" w:color="auto"/>
        <w:left w:val="none" w:sz="0" w:space="0" w:color="auto"/>
        <w:bottom w:val="none" w:sz="0" w:space="0" w:color="auto"/>
        <w:right w:val="none" w:sz="0" w:space="0" w:color="auto"/>
      </w:divBdr>
      <w:divsChild>
        <w:div w:id="1057626184">
          <w:marLeft w:val="0"/>
          <w:marRight w:val="0"/>
          <w:marTop w:val="0"/>
          <w:marBottom w:val="0"/>
          <w:divBdr>
            <w:top w:val="none" w:sz="0" w:space="0" w:color="auto"/>
            <w:left w:val="none" w:sz="0" w:space="0" w:color="auto"/>
            <w:bottom w:val="none" w:sz="0" w:space="0" w:color="auto"/>
            <w:right w:val="none" w:sz="0" w:space="0" w:color="auto"/>
          </w:divBdr>
        </w:div>
        <w:div w:id="409541070">
          <w:marLeft w:val="0"/>
          <w:marRight w:val="0"/>
          <w:marTop w:val="0"/>
          <w:marBottom w:val="0"/>
          <w:divBdr>
            <w:top w:val="none" w:sz="0" w:space="0" w:color="auto"/>
            <w:left w:val="none" w:sz="0" w:space="0" w:color="auto"/>
            <w:bottom w:val="none" w:sz="0" w:space="0" w:color="auto"/>
            <w:right w:val="none" w:sz="0" w:space="0" w:color="auto"/>
          </w:divBdr>
        </w:div>
      </w:divsChild>
    </w:div>
    <w:div w:id="1883394424">
      <w:bodyDiv w:val="1"/>
      <w:marLeft w:val="0"/>
      <w:marRight w:val="0"/>
      <w:marTop w:val="0"/>
      <w:marBottom w:val="0"/>
      <w:divBdr>
        <w:top w:val="none" w:sz="0" w:space="0" w:color="auto"/>
        <w:left w:val="none" w:sz="0" w:space="0" w:color="auto"/>
        <w:bottom w:val="none" w:sz="0" w:space="0" w:color="auto"/>
        <w:right w:val="none" w:sz="0" w:space="0" w:color="auto"/>
      </w:divBdr>
    </w:div>
    <w:div w:id="2050454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31</Pages>
  <Words>11377</Words>
  <Characters>64852</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Coffee County School System</Company>
  <LinksUpToDate>false</LinksUpToDate>
  <CharactersWithSpaces>76077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Kelly.Cobb</dc:creator>
  <cp:lastModifiedBy>Amber McNeal</cp:lastModifiedBy>
  <cp:revision>1</cp:revision>
  <cp:lastPrinted>2025-08-13T13:19:00Z</cp:lastPrinted>
  <dcterms:created xsi:type="dcterms:W3CDTF">2026-07-13T15:04:00Z</dcterms:created>
  <dcterms:modified xsi:type="dcterms:W3CDTF">2026-08-07T15:16:00Z</dcterms:modified>
</cp:coreProperties>
</file>