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0"/>
      </w:tblGrid>
      <w:tr w:rsidR="00340ECF">
        <w:trPr>
          <w:trHeight w:val="451"/>
        </w:trPr>
        <w:tc>
          <w:tcPr>
            <w:tcW w:w="15350" w:type="dxa"/>
          </w:tcPr>
          <w:p w:rsidR="00340ECF" w:rsidRDefault="00BD5841">
            <w:pPr>
              <w:pStyle w:val="Title"/>
              <w:spacing w:line="276" w:lineRule="auto"/>
              <w:rPr>
                <w:color w:val="324D5C"/>
                <w:sz w:val="32"/>
                <w:szCs w:val="32"/>
              </w:rPr>
            </w:pPr>
            <w:bookmarkStart w:id="0" w:name="_GoBack"/>
            <w:bookmarkEnd w:id="0"/>
            <w:r>
              <w:rPr>
                <w:color w:val="324D5C"/>
                <w:sz w:val="32"/>
                <w:szCs w:val="32"/>
                <w:lang w:val="es"/>
              </w:rPr>
              <w:t>23-24 ACIP</w:t>
            </w:r>
          </w:p>
        </w:tc>
      </w:tr>
      <w:tr w:rsidR="00340ECF">
        <w:trPr>
          <w:trHeight w:hRule="exact" w:val="86"/>
        </w:trPr>
        <w:tc>
          <w:tcPr>
            <w:tcW w:w="15350" w:type="dxa"/>
          </w:tcPr>
          <w:p w:rsidR="00340ECF" w:rsidRDefault="00BD5841">
            <w:pPr>
              <w:pStyle w:val="TableContents"/>
              <w:rPr>
                <w:rFonts w:ascii="Avenir" w:eastAsia="Arial Unicode MS" w:hAnsi="Avenir" w:cs="Arial Unicode MS"/>
                <w:sz w:val="28"/>
                <w:szCs w:val="28"/>
              </w:rPr>
            </w:pPr>
            <w:r>
              <w:rPr>
                <w:noProof/>
                <w:szCs w:val="2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5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</wp:posOffset>
                      </wp:positionV>
                      <wp:extent cx="2743835" cy="19050"/>
                      <wp:effectExtent l="0" t="0" r="0" b="0"/>
                      <wp:wrapNone/>
                      <wp:docPr id="1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43200" cy="1836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;flip:y" o:allowincell="f" stroked="t" from="0pt,0pt" to="215.95pt,1.4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</w:tc>
      </w:tr>
      <w:tr w:rsidR="00340ECF">
        <w:tc>
          <w:tcPr>
            <w:tcW w:w="15350" w:type="dxa"/>
          </w:tcPr>
          <w:p w:rsidR="00340ECF" w:rsidRDefault="00BD5841">
            <w:pPr>
              <w:pStyle w:val="Title"/>
              <w:spacing w:before="230" w:after="29" w:line="276" w:lineRule="auto"/>
              <w:rPr>
                <w:color w:val="324D5C"/>
                <w:sz w:val="32"/>
                <w:szCs w:val="32"/>
              </w:rPr>
            </w:pPr>
            <w:r>
              <w:rPr>
                <w:color w:val="324D5C"/>
                <w:sz w:val="32"/>
                <w:szCs w:val="32"/>
                <w:lang w:val="es"/>
              </w:rPr>
              <w:t>Escuela Primaria Prattville</w:t>
            </w:r>
          </w:p>
        </w:tc>
      </w:tr>
    </w:tbl>
    <w:p w:rsidR="00340ECF" w:rsidRDefault="00340ECF"/>
    <w:tbl>
      <w:tblPr>
        <w:tblW w:w="4900" w:type="pct"/>
        <w:jc w:val="center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957"/>
        <w:gridCol w:w="149"/>
        <w:gridCol w:w="4957"/>
        <w:gridCol w:w="151"/>
        <w:gridCol w:w="4809"/>
      </w:tblGrid>
      <w:tr w:rsidR="00340ECF">
        <w:trPr>
          <w:cantSplit/>
          <w:trHeight w:val="3600"/>
          <w:jc w:val="center"/>
        </w:trPr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340ECF" w:rsidRDefault="00BD5841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3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2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Visión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type id="_x0000_t202" coordsize="21600,21600" o:spt="202" path="m,l,21600l21600,21600l21600,xe">
                      <v:stroke joinstyle="miter"/>
                      <v:path gradientshapeok="t" o:connecttype="rect"/>
                    </v:shapetype>
                    <v:shape id="shape_0" style="position:absolute;margin-left:49.95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Visión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340ECF" w:rsidRDefault="00340ECF">
            <w:pPr>
              <w:pStyle w:val="TableContents"/>
              <w:keepNext/>
            </w:pPr>
          </w:p>
          <w:p w:rsidR="00340ECF" w:rsidRDefault="00340ECF">
            <w:pPr>
              <w:pStyle w:val="TableContents"/>
              <w:keepNext/>
            </w:pPr>
          </w:p>
          <w:p w:rsidR="00340ECF" w:rsidRDefault="00BD5841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2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3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:rsidR="00340ECF" w:rsidRDefault="00BD5841">
            <w:pPr>
              <w:pStyle w:val="BodyText"/>
            </w:pPr>
            <w:r>
              <w:rPr>
                <w:lang w:val="es"/>
              </w:rPr>
              <w:t>El sistema escolar del condado de Autauga valora su rica tradición de excelencia en un mundo que cambia rápidamente. ACS tiene como objetivo crear conscientemente un ambiente de respeto e inclusión que prepare y motive a los estudiantes a convertirse en aprendices de por vida....</w:t>
            </w:r>
          </w:p>
        </w:tc>
        <w:tc>
          <w:tcPr>
            <w:tcW w:w="149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:rsidR="00340ECF" w:rsidRDefault="00340ECF">
            <w:pPr>
              <w:pStyle w:val="TableContents"/>
              <w:keepNext/>
            </w:pPr>
          </w:p>
        </w:tc>
        <w:tc>
          <w:tcPr>
            <w:tcW w:w="4964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340ECF" w:rsidRDefault="00BD5841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4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4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Misión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49.95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Misión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340ECF" w:rsidRDefault="00340ECF">
            <w:pPr>
              <w:pStyle w:val="TableContents"/>
              <w:keepNext/>
            </w:pPr>
          </w:p>
          <w:p w:rsidR="00340ECF" w:rsidRDefault="00340ECF">
            <w:pPr>
              <w:pStyle w:val="TableContents"/>
              <w:keepNext/>
            </w:pPr>
          </w:p>
          <w:p w:rsidR="00340ECF" w:rsidRDefault="00BD5841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3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5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:rsidR="00340ECF" w:rsidRDefault="00BD5841">
            <w:pPr>
              <w:pStyle w:val="BodyText"/>
            </w:pPr>
            <w:r>
              <w:rPr>
                <w:lang w:val="es"/>
              </w:rPr>
              <w:t xml:space="preserve">Las Escuelas del Condado de Autauga se dedican a fomentar al estudiante en su totalidad en un entorno académicamente riguroso, donde todos son conocidos y valorados, mediante la creación de caminos diseñados para el éxito. </w:t>
            </w:r>
          </w:p>
        </w:tc>
        <w:tc>
          <w:tcPr>
            <w:tcW w:w="151" w:type="dxa"/>
            <w:tcBorders>
              <w:top w:val="single" w:sz="2" w:space="0" w:color="FFFFFF"/>
              <w:bottom w:val="single" w:sz="2" w:space="0" w:color="FFFFFF"/>
            </w:tcBorders>
            <w:tcMar>
              <w:left w:w="29" w:type="dxa"/>
              <w:right w:w="29" w:type="dxa"/>
            </w:tcMar>
          </w:tcPr>
          <w:p w:rsidR="00340ECF" w:rsidRDefault="00340ECF">
            <w:pPr>
              <w:pStyle w:val="TableContents"/>
              <w:keepNext/>
            </w:pPr>
          </w:p>
        </w:tc>
        <w:tc>
          <w:tcPr>
            <w:tcW w:w="4815" w:type="dxa"/>
            <w:tcBorders>
              <w:top w:val="single" w:sz="8" w:space="0" w:color="CF6767"/>
              <w:left w:val="single" w:sz="8" w:space="0" w:color="CF6767"/>
              <w:bottom w:val="single" w:sz="8" w:space="0" w:color="CF6767"/>
              <w:right w:val="single" w:sz="8" w:space="0" w:color="CF6767"/>
            </w:tcBorders>
          </w:tcPr>
          <w:p w:rsidR="00340ECF" w:rsidRDefault="00BD5841">
            <w:pPr>
              <w:pStyle w:val="TableContents"/>
              <w:keepNext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41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164465</wp:posOffset>
                      </wp:positionV>
                      <wp:extent cx="1737995" cy="324485"/>
                      <wp:effectExtent l="0" t="0" r="0" b="0"/>
                      <wp:wrapNone/>
                      <wp:docPr id="6" name="Shap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736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CF6767"/>
                                      <w:sz w:val="28"/>
                                      <w:szCs w:val="28"/>
                                      <w:lang w:val="es"/>
                                    </w:rPr>
                                    <w:t>Creencias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46.2pt;margin-top:12.95pt;width:136.75pt;height:25.45pt;mso-wrap-style:square;v-text-anchor:top;mso-position-horizontal:center" o:allowincell="f" stroked="f" type="_x0000_t202" ID="Shape3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color w:val="CF6767"/>
                                <w:lang w:val="es"/>
                              </w:rPr>
                              <w:t xml:space="preserve">Creencias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</w:p>
          <w:p w:rsidR="00340ECF" w:rsidRDefault="00340ECF">
            <w:pPr>
              <w:pStyle w:val="TableContents"/>
              <w:keepNext/>
            </w:pPr>
          </w:p>
          <w:p w:rsidR="00340ECF" w:rsidRDefault="00340ECF">
            <w:pPr>
              <w:pStyle w:val="TableContents"/>
              <w:keepNext/>
            </w:pPr>
          </w:p>
          <w:p w:rsidR="00340ECF" w:rsidRDefault="00BD5841">
            <w:pPr>
              <w:keepNext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  <w:lang w:val="es"/>
              </w:rPr>
              <mc:AlternateContent>
                <mc:Choice Requires="wps">
                  <w:drawing>
                    <wp:anchor distT="8890" distB="8890" distL="8890" distR="8890" simplePos="0" relativeHeight="44" behindDoc="0" locked="0" layoutInCell="0" allowOverlap="1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27305</wp:posOffset>
                      </wp:positionV>
                      <wp:extent cx="2744470" cy="635"/>
                      <wp:effectExtent l="0" t="0" r="0" b="0"/>
                      <wp:wrapNone/>
                      <wp:docPr id="7" name="Shap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3920" cy="0"/>
                              </a:xfrm>
                              <a:prstGeom prst="line">
                                <a:avLst/>
                              </a:prstGeom>
                              <a:ln w="18360">
                                <a:solidFill>
                                  <a:srgbClr val="CF6767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line id="shape_0" style="position:absolute" o:allowincell="f" stroked="t" from="12.95pt,2.15pt" to="228.95pt,2.15pt" ID="Shape5">
                      <v:stroke weight="18360" color="#cf6767" joinstyle="round" endcap="flat"/>
                      <v:fill on="false" o:detectmouseclick="t"/>
                      <w10:wrap type="none"/>
                    </v:line>
                  </w:pict>
                </mc:Fallback>
              </mc:AlternateContent>
            </w:r>
          </w:p>
          <w:p w:rsidR="00340ECF" w:rsidRDefault="00BD5841">
            <w:pPr>
              <w:pStyle w:val="BodyText"/>
            </w:pPr>
            <w:r>
              <w:rPr>
                <w:lang w:val="es"/>
              </w:rPr>
              <w:t xml:space="preserve">Equipar. Atacar. Sobresalir </w:t>
            </w:r>
          </w:p>
        </w:tc>
      </w:tr>
    </w:tbl>
    <w:p w:rsidR="00340ECF" w:rsidRDefault="00340ECF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7"/>
        <w:gridCol w:w="3795"/>
        <w:gridCol w:w="57"/>
        <w:gridCol w:w="3795"/>
        <w:gridCol w:w="57"/>
        <w:gridCol w:w="3795"/>
      </w:tblGrid>
      <w:tr w:rsidR="00340ECF">
        <w:tc>
          <w:tcPr>
            <w:tcW w:w="3794" w:type="dxa"/>
          </w:tcPr>
          <w:p w:rsidR="00340ECF" w:rsidRDefault="00BD5841">
            <w:pPr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8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Logros Académicos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9.55pt;margin-top:2.6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Logros Académicos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>
                  <wp:extent cx="964565" cy="405130"/>
                  <wp:effectExtent l="0" t="0" r="0" b="0"/>
                  <wp:docPr id="9" name="imgfit_var_image1-DM-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fit_var_image1-DM-A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56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420370"/>
                      <wp:effectExtent l="0" t="0" r="0" b="0"/>
                      <wp:wrapNone/>
                      <wp:docPr id="10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4197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APRENDIZAJE SEGURO Y SALUDABLE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9.55pt;margin-top:-0.25pt;width:70.5pt;height:33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APRENDIZAJE SEGURO Y SALUDABLE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>
                  <wp:extent cx="974725" cy="409575"/>
                  <wp:effectExtent l="0" t="0" r="0" b="0"/>
                  <wp:docPr id="11" name="imgfit_var_image2-DM-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fit_var_image2-DM-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14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2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PERSONAL DE CALIDAD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9.55pt;margin-top:2.8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PERSONAL DE CALIDAD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>
                  <wp:extent cx="974725" cy="409575"/>
                  <wp:effectExtent l="0" t="0" r="0" b="0"/>
                  <wp:docPr id="13" name="imgfit_var_image3-DM-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fit_var_image3-DM-F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jc w:val="center"/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jc w:val="center"/>
            </w:pPr>
            <w:r>
              <w:rPr>
                <w:noProof/>
                <w:lang w:val="es"/>
              </w:rPr>
              <mc:AlternateContent>
                <mc:Choice Requires="wps">
                  <w:drawing>
                    <wp:anchor distT="0" distB="0" distL="0" distR="0" simplePos="0" relativeHeight="13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896620" cy="342900"/>
                      <wp:effectExtent l="0" t="0" r="0" b="0"/>
                      <wp:wrapNone/>
                      <wp:docPr id="14" name="Shap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604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before="86"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RELACIONES CON LOS GRUPOS DE INTERÉS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9.55pt;margin-top:2.75pt;width:70.5pt;height:26.9pt;mso-wrap-style:square;v-text-anchor:middle;mso-position-horizontal:center;mso-position-vertical:center" o:allowincell="f" stroked="f" type="_x0000_t202" ID="Shape1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86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RELACIONES CON LOS GRUPOS DE INTERÉS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lang w:val="es"/>
              </w:rPr>
              <w:drawing>
                <wp:inline distT="0" distB="4445" distL="0" distR="0">
                  <wp:extent cx="974090" cy="408305"/>
                  <wp:effectExtent l="0" t="0" r="0" b="0"/>
                  <wp:docPr id="15" name="imgfit_var_image4-DM-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fit_var_image4-DM-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0ECF" w:rsidRDefault="00340ECF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340ECF">
        <w:trPr>
          <w:cantSplit/>
          <w:tblHeader/>
        </w:trPr>
        <w:tc>
          <w:tcPr>
            <w:tcW w:w="3794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17" name="imgfit_var_objimage1-DM-Z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fit_var_objimage1-DM-Z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1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19" name="imgfit_var_objimage2-DM-U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fit_var_objimage2-DM-U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5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1" name="imgfit_var_objimage3-DM-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gfit_var_objimage3-DM-B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1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Objetivos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kinsoku w:val="true"/>
                              <w:overflowPunct w:val="true"/>
                              <w:autoSpaceDE w:val="true"/>
                              <w:bidi w:val="false"/>
                              <w:spacing w:before="0" w:after="0" w:line="240" w:lineRule="auto"/>
                              <w:ind w:left="0" w:right="0" w:hanging="0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Objetivos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3" name="imgfit_var_objimage4-DM-Q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fit_var_objimage4-DM-Q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ECF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el rendimiento académico en ACAP en Matemáticas 3º</w:t>
            </w:r>
            <w:r>
              <w:rPr>
                <w:lang w:val="es"/>
              </w:rPr>
              <w:t xml:space="preserve"> de 56% a 60% y </w:t>
            </w:r>
            <w:r>
              <w:rPr>
                <w:sz w:val="18"/>
                <w:szCs w:val="18"/>
                <w:lang w:val="es"/>
              </w:rPr>
              <w:t>4º de 47% a 60%. Lectura 3º de primaria de 70% a 75% y 4º de 68% a 73%.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Mantener el crecimiento académico total para todos los estudiantes y aumentar el rendimiento académico total para los estudiantes con discapacidades en el ACAP.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340ECF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Mejorarel clima y la cultura proporcionando un entorno de aprendizaje seguro, positivo y bien mantenido para todos los estudiantes.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Disminuir el ausentismo crónico.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340ECF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Implementar actividades de aprendizaje profesional centradas en la tutoría de cada maestro para aumentarla retención de</w:t>
            </w:r>
            <w:r>
              <w:rPr>
                <w:lang w:val="es"/>
              </w:rPr>
              <w:t xml:space="preserve"> maestros noveles.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340ECF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la participación de la familia durante todo el año escolar.</w:t>
            </w:r>
          </w:p>
        </w:tc>
      </w:tr>
    </w:tbl>
    <w:p w:rsidR="00340ECF" w:rsidRDefault="00340ECF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340ECF">
        <w:trPr>
          <w:cantSplit/>
          <w:tblHeader/>
        </w:trPr>
        <w:tc>
          <w:tcPr>
            <w:tcW w:w="3794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5" name="imgfit_var_initimage1-DM-Q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gfit_var_initimage1-DM-Q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7" name="imgfit_var_initimage2-DM-H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fit_var_initimage2-DM-H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2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29" name="imgfit_var_initimage3-DM-N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fit_var_initimage3-DM-N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0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Iniciativas críticas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Iniciativas críticas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31" name="imgfit_var_initimage4-DM-A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gfit_var_initimage4-DM-A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ECF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Proporcionar y supervisar materiales didácticos de alta calidad que aborden la continuidad de los niveles de rendimiento.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Proporcionar oportunidades de enriquecimiento y remediación fuera de la </w:t>
            </w:r>
            <w:r>
              <w:rPr>
                <w:sz w:val="18"/>
                <w:szCs w:val="18"/>
                <w:lang w:val="es"/>
              </w:rPr>
              <w:lastRenderedPageBreak/>
              <w:t>escuela diseñadas para maximizar el potencial de los estudiantes, incluidas, entre otras, tutorías, aprendizaje de verano y actividades de participación familiar.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Trabajar en colaboración con la oficina central para proporcionar apoyo estratégico a través del aprendizaje profesional, observaciones en el aula / rondas de instrucción, apoyo e intervención de varios niveles.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Proporcionar a los profesores un aprendizaje profesional centrado en la comprensión profunda de los estándares de ALSDE,</w:t>
            </w:r>
            <w:r>
              <w:rPr>
                <w:lang w:val="es"/>
              </w:rPr>
              <w:t xml:space="preserve"> la </w:t>
            </w:r>
            <w:r>
              <w:rPr>
                <w:sz w:val="18"/>
                <w:szCs w:val="18"/>
                <w:lang w:val="es"/>
              </w:rPr>
              <w:t>implementación de materiales didácticos de alta calidad y la utilización de datos para abordar las necesidades de los estudiantes.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340ECF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Promover un programa completo de orientación y asesoramiento para mejorar el comportamiento positivo de los estudiantes al reducir el número de referencias a la oficina.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lastRenderedPageBreak/>
              <w:t>Reducirel número de infracciones disciplinarias que dan lugar a ISS.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Aumentar la creencia de que PES es una escuela segura y protegida.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Supervise la asistencia de los estudiantes y comuníquese constantemente con las partes interesadas sobre su valor y los resultados.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340ECF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Involucre a los </w:t>
            </w:r>
            <w:proofErr w:type="gramStart"/>
            <w:r>
              <w:rPr>
                <w:sz w:val="18"/>
                <w:szCs w:val="18"/>
                <w:lang w:val="es"/>
              </w:rPr>
              <w:t xml:space="preserve">nuevos </w:t>
            </w:r>
            <w:r>
              <w:rPr>
                <w:lang w:val="es"/>
              </w:rPr>
              <w:t xml:space="preserve"> maestros</w:t>
            </w:r>
            <w:proofErr w:type="gramEnd"/>
            <w:r>
              <w:rPr>
                <w:lang w:val="es"/>
              </w:rPr>
              <w:t xml:space="preserve"> con un </w:t>
            </w:r>
            <w:r>
              <w:rPr>
                <w:sz w:val="18"/>
                <w:szCs w:val="18"/>
                <w:lang w:val="es"/>
              </w:rPr>
              <w:t xml:space="preserve"> programa de tutoría de un año para ayudar con la transición, el compromiso y la personalización.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Proporcionar un ambiente de trabajo positivo.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340ECF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Actividad basada en la familia a lo largo del año escolar en diferentes momentos para apaciguar </w:t>
            </w:r>
            <w:proofErr w:type="gramStart"/>
            <w:r>
              <w:rPr>
                <w:sz w:val="18"/>
                <w:szCs w:val="18"/>
                <w:lang w:val="es"/>
              </w:rPr>
              <w:t>los  horarios</w:t>
            </w:r>
            <w:proofErr w:type="gramEnd"/>
            <w:r>
              <w:rPr>
                <w:sz w:val="18"/>
                <w:szCs w:val="18"/>
                <w:lang w:val="es"/>
              </w:rPr>
              <w:t xml:space="preserve"> de</w:t>
            </w:r>
            <w:r>
              <w:rPr>
                <w:lang w:val="es"/>
              </w:rPr>
              <w:t xml:space="preserve"> los padres/</w:t>
            </w:r>
            <w:r>
              <w:rPr>
                <w:sz w:val="18"/>
                <w:szCs w:val="18"/>
                <w:lang w:val="es"/>
              </w:rPr>
              <w:t>tutores</w:t>
            </w:r>
          </w:p>
        </w:tc>
      </w:tr>
    </w:tbl>
    <w:p w:rsidR="00340ECF" w:rsidRDefault="00340ECF">
      <w:pPr>
        <w:rPr>
          <w:sz w:val="12"/>
          <w:szCs w:val="12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0"/>
        <w:gridCol w:w="130"/>
        <w:gridCol w:w="3740"/>
        <w:gridCol w:w="130"/>
        <w:gridCol w:w="3740"/>
        <w:gridCol w:w="130"/>
        <w:gridCol w:w="3740"/>
      </w:tblGrid>
      <w:tr w:rsidR="00340ECF">
        <w:trPr>
          <w:cantSplit/>
          <w:tblHeader/>
        </w:trPr>
        <w:tc>
          <w:tcPr>
            <w:tcW w:w="3794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2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33" name="imgfit_var_keyimage1-DM-N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gfit_var_keyimage1-DM-N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4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35" name="imgfit_var_keyimage2-DM-S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gfit_var_keyimage2-DM-S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6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37" name="imgfit_var_keyimage3-DM-C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fit_var_keyimage3-DM-C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" w:type="dxa"/>
          </w:tcPr>
          <w:p w:rsidR="00340ECF" w:rsidRDefault="00340ECF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</w:p>
        </w:tc>
        <w:tc>
          <w:tcPr>
            <w:tcW w:w="3795" w:type="dxa"/>
          </w:tcPr>
          <w:p w:rsidR="00340ECF" w:rsidRDefault="00BD5841">
            <w:pPr>
              <w:pStyle w:val="TableContents"/>
              <w:spacing w:line="240" w:lineRule="auto"/>
              <w:contextualSpacing/>
              <w:jc w:val="center"/>
              <w:rPr>
                <w:szCs w:val="18"/>
              </w:rPr>
            </w:pPr>
            <w:r>
              <w:rPr>
                <w:noProof/>
                <w:szCs w:val="18"/>
                <w:lang w:val="es"/>
              </w:rPr>
              <mc:AlternateContent>
                <mc:Choice Requires="wps">
                  <w:drawing>
                    <wp:anchor distT="0" distB="0" distL="0" distR="0" simplePos="0" relativeHeight="38" behindDoc="0" locked="0" layoutInCell="0" allowOverlap="1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align>center</wp:align>
                      </wp:positionV>
                      <wp:extent cx="915035" cy="342900"/>
                      <wp:effectExtent l="0" t="0" r="0" b="0"/>
                      <wp:wrapNone/>
                      <wp:docPr id="38" name="Shap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:rsidR="00340ECF" w:rsidRDefault="00BD5841">
                                  <w:pPr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color w:val="FFFFFF"/>
                                      <w:sz w:val="18"/>
                                      <w:szCs w:val="18"/>
                                      <w:lang w:val="es"/>
                                    </w:rPr>
                                    <w:t>Medidas clave</w:t>
                                  </w:r>
                                </w:p>
                              </w:txbxContent>
                            </wps:txbx>
                            <wps:bodyPr wrap="square" lIns="0" tIns="0" rIns="0" bIns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>
                  <w:pict>
                    <v:shape id="shape_0" style="position:absolute;margin-left:58.85pt;margin-top:-9.9pt;width:71.95pt;height:26.9pt;mso-wrap-style:square;v-text-anchor:middle;mso-position-horizontal:center;mso-position-vertical:center" o:allowincell="f" stroked="f" type="_x0000_t202" ID="Shape2">
                      <v:textbox>
                        <w:txbxContent>
                          <w:p>
                            <w:pPr>
                              <w:bidi w:val="false"/>
                              <w:spacing w:line="240" w:lineRule="auto"/>
                              <w:jc w:val="center"/>
                              <w:rPr/>
                            </w:pPr>
                            <w:r>
                              <w:rPr>
                                <w:sz w:val="18"/>
                                <w:w w:val="10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pacing w:val="0"/>
                                <w:szCs w:val="18"/>
                                <w:em w:val="none"/>
                                <w:emboss w:val="false"/>
                                <w:imprint w:val="false"/>
                                <w:smallCaps w:val="false"/>
                                <w:caps w:val="false"/>
                                <w:color w:val="FFFFFF"/>
                                <w:lang w:val="es"/>
                              </w:rPr>
                              <w:t xml:space="preserve">Medidas clave</w:t>
                            </w:r>
                          </w:p>
                        </w:txbxContent>
                      </v:textbox>
                      <v:fill on="false" o:detectmouseclick="t"/>
                      <v:stroke color="black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noProof/>
                <w:szCs w:val="18"/>
                <w:lang w:val="es"/>
              </w:rPr>
              <w:drawing>
                <wp:inline distT="0" distB="4445" distL="0" distR="0">
                  <wp:extent cx="969010" cy="86995"/>
                  <wp:effectExtent l="0" t="0" r="0" b="0"/>
                  <wp:docPr id="39" name="imgfit_var_keyimage4-DM-M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fit_var_keyimage4-DM-M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010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0ECF">
        <w:tc>
          <w:tcPr>
            <w:tcW w:w="3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Monitoree los datos de los estudiantes en Star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Boletines de calificaciones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 xml:space="preserve"> Niveles</w:t>
            </w:r>
            <w:r>
              <w:rPr>
                <w:lang w:val="es"/>
              </w:rPr>
              <w:t xml:space="preserve"> de MyPath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Matrícula de tutoría, noches para padres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Participación de los padres y datos de participación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Planes SRIP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Observaciones de los profesores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Productos de trabajo de estudiantes</w:t>
            </w:r>
            <w:r>
              <w:rPr>
                <w:lang w:val="es"/>
              </w:rPr>
              <w:t xml:space="preserve"> y profesores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340ECF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Datos de disciplina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Datos de referencia de trabajadores sociales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Disminución del invierno a la primavera de las referencias a la oficina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Alcanzar las metas específicas de los estudiantes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Comentarios de la EMA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Uso de un plan de preparación para emergencias actualizado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Señales de seguridad, carpetas de emergencia de la facultad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Informes de ADM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Datos de asistencia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340ECF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Observaciones de los profesores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Horarios de recorrido</w:t>
            </w:r>
          </w:p>
        </w:tc>
        <w:tc>
          <w:tcPr>
            <w:tcW w:w="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340ECF">
            <w:pPr>
              <w:pStyle w:val="TableContents"/>
              <w:spacing w:line="240" w:lineRule="auto"/>
            </w:pPr>
          </w:p>
        </w:tc>
        <w:tc>
          <w:tcPr>
            <w:tcW w:w="37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Participación de los padres en los eventos</w:t>
            </w:r>
          </w:p>
          <w:p w:rsidR="00340ECF" w:rsidRDefault="00340ECF">
            <w:pPr>
              <w:pStyle w:val="TableContents"/>
              <w:spacing w:line="240" w:lineRule="auto"/>
            </w:pPr>
          </w:p>
          <w:p w:rsidR="00340ECF" w:rsidRDefault="00BD5841">
            <w:pPr>
              <w:numPr>
                <w:ilvl w:val="0"/>
                <w:numId w:val="1"/>
              </w:num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s"/>
              </w:rPr>
              <w:t>Encuestas para padres y la comunidad</w:t>
            </w:r>
          </w:p>
        </w:tc>
      </w:tr>
    </w:tbl>
    <w:p w:rsidR="00340ECF" w:rsidRDefault="00340ECF">
      <w:pPr>
        <w:rPr>
          <w:sz w:val="12"/>
          <w:szCs w:val="12"/>
        </w:rPr>
      </w:pPr>
    </w:p>
    <w:sectPr w:rsidR="00340ECF">
      <w:footerReference w:type="default" r:id="rId15"/>
      <w:pgSz w:w="15840" w:h="12240" w:orient="landscape"/>
      <w:pgMar w:top="432" w:right="245" w:bottom="778" w:left="245" w:header="0" w:footer="288" w:gutter="0"/>
      <w:pgNumType w:fmt="upperRoman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51C" w:rsidRDefault="00B4251C">
      <w:pPr>
        <w:spacing w:line="240" w:lineRule="auto"/>
      </w:pPr>
      <w:r>
        <w:rPr>
          <w:lang w:val="es"/>
        </w:rPr>
        <w:separator/>
      </w:r>
    </w:p>
  </w:endnote>
  <w:endnote w:type="continuationSeparator" w:id="0">
    <w:p w:rsidR="00B4251C" w:rsidRDefault="00B4251C">
      <w:pPr>
        <w:spacing w:line="240" w:lineRule="auto"/>
      </w:pPr>
      <w:r>
        <w:rPr>
          <w:lang w:val="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enir Nex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0" w:type="pct"/>
      <w:jc w:val="center"/>
      <w:tblLayout w:type="fixed"/>
      <w:tblCellMar>
        <w:top w:w="29" w:type="dxa"/>
        <w:left w:w="29" w:type="dxa"/>
        <w:bottom w:w="29" w:type="dxa"/>
        <w:right w:w="29" w:type="dxa"/>
      </w:tblCellMar>
      <w:tblLook w:val="04A0" w:firstRow="1" w:lastRow="0" w:firstColumn="1" w:lastColumn="0" w:noHBand="0" w:noVBand="1"/>
    </w:tblPr>
    <w:tblGrid>
      <w:gridCol w:w="4195"/>
      <w:gridCol w:w="4195"/>
      <w:gridCol w:w="4197"/>
    </w:tblGrid>
    <w:tr w:rsidR="00340ECF">
      <w:trPr>
        <w:jc w:val="center"/>
      </w:trPr>
      <w:tc>
        <w:tcPr>
          <w:tcW w:w="4179" w:type="dxa"/>
          <w:tcBorders>
            <w:top w:val="single" w:sz="2" w:space="0" w:color="B2B2B2"/>
          </w:tcBorders>
        </w:tcPr>
        <w:p w:rsidR="00340ECF" w:rsidRDefault="00BD5841">
          <w:pPr>
            <w:pStyle w:val="TableContents"/>
            <w:rPr>
              <w:rFonts w:ascii="Avenir" w:hAnsi="Avenir"/>
              <w:szCs w:val="18"/>
            </w:rPr>
          </w:pPr>
          <w:r>
            <w:rPr>
              <w:noProof/>
              <w:szCs w:val="18"/>
              <w:lang w:val="es"/>
            </w:rPr>
            <w:drawing>
              <wp:anchor distT="0" distB="0" distL="0" distR="0" simplePos="0" relativeHeight="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align>center</wp:align>
                </wp:positionV>
                <wp:extent cx="502920" cy="118745"/>
                <wp:effectExtent l="0" t="0" r="0" b="0"/>
                <wp:wrapSquare wrapText="largest"/>
                <wp:docPr id="40" name="Image25-DM-W0Image25-DM-V1" descr="Creado con sketchtoo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Image25-DM-W0Image25-DM-V1" descr="Created with sketchtoo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2920" cy="118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340ECF" w:rsidRDefault="00BD5841">
          <w:pPr>
            <w:pStyle w:val="TableContents"/>
            <w:rPr>
              <w:sz w:val="12"/>
              <w:szCs w:val="12"/>
            </w:rPr>
          </w:pPr>
          <w:r>
            <w:rPr>
              <w:color w:val="000000"/>
              <w:sz w:val="12"/>
              <w:szCs w:val="12"/>
              <w:lang w:val="es"/>
            </w:rPr>
            <w:t xml:space="preserve">© </w:t>
          </w:r>
          <w:proofErr w:type="spellStart"/>
          <w:r>
            <w:rPr>
              <w:color w:val="000000"/>
              <w:sz w:val="12"/>
              <w:szCs w:val="12"/>
              <w:lang w:val="es"/>
            </w:rPr>
            <w:t>Cognia</w:t>
          </w:r>
          <w:r>
            <w:rPr>
              <w:color w:val="222222"/>
              <w:sz w:val="12"/>
              <w:szCs w:val="12"/>
              <w:lang w:val="es"/>
            </w:rPr>
            <w:t>Inc</w:t>
          </w:r>
          <w:proofErr w:type="spellEnd"/>
          <w:r>
            <w:rPr>
              <w:color w:val="222222"/>
              <w:sz w:val="12"/>
              <w:szCs w:val="12"/>
              <w:lang w:val="es"/>
            </w:rPr>
            <w:t>.</w:t>
          </w:r>
        </w:p>
      </w:tc>
      <w:tc>
        <w:tcPr>
          <w:tcW w:w="4179" w:type="dxa"/>
          <w:tcBorders>
            <w:top w:val="single" w:sz="2" w:space="0" w:color="B2B2B2"/>
          </w:tcBorders>
          <w:vAlign w:val="center"/>
        </w:tcPr>
        <w:p w:rsidR="00340ECF" w:rsidRDefault="00BD5841">
          <w:pPr>
            <w:pStyle w:val="TableContents"/>
            <w:jc w:val="center"/>
            <w:rPr>
              <w:rFonts w:ascii="Avenir" w:hAnsi="Avenir"/>
              <w:b/>
              <w:bCs/>
              <w:sz w:val="22"/>
            </w:rPr>
          </w:pPr>
          <w:r>
            <w:rPr>
              <w:b/>
              <w:bCs/>
              <w:sz w:val="22"/>
              <w:lang w:val="es"/>
            </w:rPr>
            <w:t>Mapa Estratégico</w:t>
          </w:r>
        </w:p>
      </w:tc>
      <w:tc>
        <w:tcPr>
          <w:tcW w:w="4181" w:type="dxa"/>
          <w:tcBorders>
            <w:top w:val="single" w:sz="2" w:space="0" w:color="B2B2B2"/>
          </w:tcBorders>
          <w:vAlign w:val="center"/>
        </w:tcPr>
        <w:p w:rsidR="00340ECF" w:rsidRDefault="00BD5841">
          <w:pPr>
            <w:pStyle w:val="TableContents"/>
            <w:jc w:val="right"/>
            <w:rPr>
              <w:rFonts w:ascii="Avenir" w:hAnsi="Avenir"/>
              <w:sz w:val="14"/>
              <w:szCs w:val="14"/>
            </w:rPr>
          </w:pPr>
          <w:r>
            <w:rPr>
              <w:sz w:val="14"/>
              <w:szCs w:val="14"/>
              <w:lang w:val="es"/>
            </w:rPr>
            <w:t xml:space="preserve">Página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PAGE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2</w:t>
          </w:r>
          <w:r>
            <w:rPr>
              <w:sz w:val="14"/>
              <w:szCs w:val="14"/>
              <w:lang w:val="es"/>
            </w:rPr>
            <w:fldChar w:fldCharType="end"/>
          </w:r>
          <w:r>
            <w:rPr>
              <w:sz w:val="14"/>
              <w:szCs w:val="14"/>
              <w:lang w:val="es"/>
            </w:rPr>
            <w:t xml:space="preserve"> de </w:t>
          </w:r>
          <w:r>
            <w:rPr>
              <w:sz w:val="14"/>
              <w:szCs w:val="14"/>
              <w:lang w:val="es"/>
            </w:rPr>
            <w:fldChar w:fldCharType="begin"/>
          </w:r>
          <w:r>
            <w:rPr>
              <w:sz w:val="14"/>
              <w:szCs w:val="14"/>
              <w:lang w:val="es"/>
            </w:rPr>
            <w:instrText>NUMPAGES \* ARABIC</w:instrText>
          </w:r>
          <w:r>
            <w:rPr>
              <w:sz w:val="14"/>
              <w:szCs w:val="14"/>
              <w:lang w:val="es"/>
            </w:rPr>
            <w:fldChar w:fldCharType="separate"/>
          </w:r>
          <w:r>
            <w:rPr>
              <w:sz w:val="14"/>
              <w:szCs w:val="14"/>
              <w:lang w:val="es"/>
            </w:rPr>
            <w:t>2</w:t>
          </w:r>
          <w:r>
            <w:rPr>
              <w:sz w:val="14"/>
              <w:szCs w:val="14"/>
              <w:lang w:val="es"/>
            </w:rPr>
            <w:fldChar w:fldCharType="end"/>
          </w:r>
        </w:p>
      </w:tc>
    </w:tr>
  </w:tbl>
  <w:p w:rsidR="00340ECF" w:rsidRDefault="00340E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51C" w:rsidRDefault="00B4251C">
      <w:pPr>
        <w:spacing w:line="240" w:lineRule="auto"/>
      </w:pPr>
      <w:r>
        <w:rPr>
          <w:lang w:val="es"/>
        </w:rPr>
        <w:separator/>
      </w:r>
    </w:p>
  </w:footnote>
  <w:footnote w:type="continuationSeparator" w:id="0">
    <w:p w:rsidR="00B4251C" w:rsidRDefault="00B4251C">
      <w:pPr>
        <w:spacing w:line="240" w:lineRule="auto"/>
      </w:pPr>
      <w:r>
        <w:rPr>
          <w:lang w:val="e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A5B3F"/>
    <w:multiLevelType w:val="multilevel"/>
    <w:tmpl w:val="72A47F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977D4C"/>
    <w:multiLevelType w:val="multilevel"/>
    <w:tmpl w:val="5A5E5034"/>
    <w:lvl w:ilvl="0">
      <w:start w:val="1"/>
      <w:numFmt w:val="bullet"/>
      <w:lvlText w:val=""/>
      <w:lvlJc w:val="left"/>
      <w:pPr>
        <w:tabs>
          <w:tab w:val="num" w:pos="216"/>
        </w:tabs>
        <w:ind w:left="216" w:hanging="144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ECF"/>
    <w:rsid w:val="00340ECF"/>
    <w:rsid w:val="00A71AD0"/>
    <w:rsid w:val="00B4251C"/>
    <w:rsid w:val="00BD5841"/>
    <w:rsid w:val="00EB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59BF67-4577-4393-845A-31FAEC91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2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59" w:lineRule="auto"/>
    </w:pPr>
  </w:style>
  <w:style w:type="paragraph" w:styleId="Heading1">
    <w:name w:val="heading 1"/>
    <w:basedOn w:val="Heading"/>
    <w:uiPriority w:val="9"/>
    <w:qFormat/>
    <w:pPr>
      <w:outlineLvl w:val="0"/>
    </w:pPr>
  </w:style>
  <w:style w:type="paragraph" w:styleId="Heading2">
    <w:name w:val="heading 2"/>
    <w:basedOn w:val="Heading"/>
    <w:uiPriority w:val="9"/>
    <w:semiHidden/>
    <w:unhideWhenUsed/>
    <w:qFormat/>
    <w:pPr>
      <w:outlineLvl w:val="1"/>
    </w:pPr>
  </w:style>
  <w:style w:type="paragraph" w:styleId="Heading3">
    <w:name w:val="heading 3"/>
    <w:basedOn w:val="Heading"/>
    <w:uiPriority w:val="9"/>
    <w:semiHidden/>
    <w:unhideWhenUsed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</w:style>
  <w:style w:type="character" w:customStyle="1" w:styleId="FooterChar">
    <w:name w:val="Footer Char"/>
    <w:basedOn w:val="DefaultParagraphFont"/>
    <w:qFormat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808080"/>
      <w:shd w:val="clear" w:color="auto" w:fill="E6E6E6"/>
    </w:rPr>
  </w:style>
  <w:style w:type="character" w:customStyle="1" w:styleId="IndexLink">
    <w:name w:val="Index Link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venir" w:eastAsia="Arial Unicode MS" w:hAnsi="Avenir" w:cs="Arial Unicode M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venir Next" w:hAnsi="Avenir Next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venir Next" w:hAnsi="Avenir Next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Avenir Next" w:hAnsi="Avenir Next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Footer">
    <w:name w:val="footer"/>
    <w:basedOn w:val="Normal"/>
    <w:pPr>
      <w:tabs>
        <w:tab w:val="center" w:pos="4680"/>
        <w:tab w:val="right" w:pos="9360"/>
      </w:tabs>
      <w:spacing w:line="240" w:lineRule="auto"/>
    </w:pPr>
  </w:style>
  <w:style w:type="paragraph" w:styleId="ListParagraph">
    <w:name w:val="List Paragraph"/>
    <w:basedOn w:val="Normal"/>
    <w:qFormat/>
    <w:pPr>
      <w:spacing w:after="160"/>
      <w:ind w:left="720"/>
      <w:contextualSpacing/>
    </w:pPr>
    <w:rPr>
      <w:sz w:val="18"/>
    </w:rPr>
  </w:style>
  <w:style w:type="paragraph" w:styleId="IndexHeading">
    <w:name w:val="index heading"/>
    <w:basedOn w:val="Heading"/>
  </w:style>
  <w:style w:type="paragraph" w:styleId="TOCHeading">
    <w:name w:val="TOC Heading"/>
    <w:basedOn w:val="Heading"/>
  </w:style>
  <w:style w:type="paragraph" w:customStyle="1" w:styleId="TableContents">
    <w:name w:val="Table Contents"/>
    <w:basedOn w:val="Normal"/>
    <w:qFormat/>
    <w:rPr>
      <w:sz w:val="18"/>
    </w:rPr>
  </w:style>
  <w:style w:type="paragraph" w:styleId="TOC1">
    <w:name w:val="toc 1"/>
    <w:basedOn w:val="Index"/>
  </w:style>
  <w:style w:type="paragraph" w:styleId="TOC2">
    <w:name w:val="toc 2"/>
    <w:basedOn w:val="Index"/>
  </w:style>
  <w:style w:type="paragraph" w:styleId="TOC3">
    <w:name w:val="toc 3"/>
    <w:basedOn w:val="Index"/>
  </w:style>
  <w:style w:type="paragraph" w:customStyle="1" w:styleId="FrameContents">
    <w:name w:val="Frame Contents"/>
    <w:basedOn w:val="Normal"/>
    <w:qFormat/>
  </w:style>
  <w:style w:type="paragraph" w:styleId="Title">
    <w:name w:val="Title"/>
    <w:basedOn w:val="Heading"/>
    <w:uiPriority w:val="10"/>
    <w:qFormat/>
    <w:pPr>
      <w:spacing w:before="115" w:after="115" w:line="240" w:lineRule="auto"/>
    </w:pPr>
  </w:style>
  <w:style w:type="paragraph" w:customStyle="1" w:styleId="Text">
    <w:name w:val="Text"/>
    <w:basedOn w:val="Caption"/>
    <w:qFormat/>
  </w:style>
  <w:style w:type="paragraph" w:customStyle="1" w:styleId="TableHeading">
    <w:name w:val="Table Heading"/>
    <w:basedOn w:val="TableContents"/>
    <w:qFormat/>
  </w:style>
  <w:style w:type="paragraph" w:customStyle="1" w:styleId="PreformattedText">
    <w:name w:val="Preformatted Text"/>
    <w:basedOn w:val="Normal"/>
    <w:qFormat/>
  </w:style>
  <w:style w:type="paragraph" w:customStyle="1" w:styleId="HorizontalLine">
    <w:name w:val="Horizontal Line"/>
    <w:basedOn w:val="Normal"/>
    <w:qFormat/>
  </w:style>
  <w:style w:type="paragraph" w:customStyle="1" w:styleId="Illustration">
    <w:name w:val="Illustration"/>
    <w:basedOn w:val="Caption"/>
    <w:qFormat/>
  </w:style>
  <w:style w:type="paragraph" w:customStyle="1" w:styleId="ListContents">
    <w:name w:val="List Contents"/>
    <w:basedOn w:val="Normal"/>
    <w:qFormat/>
    <w:rPr>
      <w:sz w:val="18"/>
    </w:rPr>
  </w:style>
  <w:style w:type="paragraph" w:customStyle="1" w:styleId="ListHeading">
    <w:name w:val="List Heading"/>
    <w:basedOn w:val="Normal"/>
    <w:qFormat/>
    <w:rPr>
      <w:sz w:val="18"/>
    </w:rPr>
  </w:style>
  <w:style w:type="paragraph" w:customStyle="1" w:styleId="Topstyle">
    <w:name w:val="Topstyle"/>
    <w:basedOn w:val="TableContents"/>
    <w:qFormat/>
    <w:pPr>
      <w:tabs>
        <w:tab w:val="left" w:pos="72"/>
      </w:tabs>
      <w:jc w:val="center"/>
    </w:pPr>
  </w:style>
  <w:style w:type="numbering" w:customStyle="1" w:styleId="L1DM0D0zezN4">
    <w:name w:val="L1DM0_D0zezN4"/>
    <w:qFormat/>
  </w:style>
  <w:style w:type="character" w:styleId="PlaceholderText">
    <w:name w:val="Placeholder Text"/>
    <w:basedOn w:val="DefaultParagraphFont"/>
    <w:uiPriority w:val="99"/>
    <w:semiHidden/>
    <w:rsid w:val="00EB50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10385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Autauga County Schools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dc:description/>
  <cp:lastModifiedBy>Scarlett Turner</cp:lastModifiedBy>
  <cp:revision>1</cp:revision>
  <dcterms:created xsi:type="dcterms:W3CDTF">2018-02-13T02:10:00Z</dcterms:created>
  <dcterms:modified xsi:type="dcterms:W3CDTF">2023-10-25T15:33:00Z</dcterms:modified>
  <cp:category/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