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FC82" w14:textId="3E0E2123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BA3A97">
        <w:rPr>
          <w:rFonts w:ascii="Arial" w:hAnsi="Arial" w:cs="Arial"/>
          <w:b/>
          <w:spacing w:val="-3"/>
          <w:sz w:val="20"/>
        </w:rPr>
        <w:t>:</w:t>
      </w:r>
      <w:proofErr w:type="gramEnd"/>
      <w:r w:rsidR="00B206FC">
        <w:rPr>
          <w:rFonts w:ascii="Arial" w:hAnsi="Arial" w:cs="Arial"/>
          <w:b/>
          <w:spacing w:val="-3"/>
          <w:sz w:val="20"/>
        </w:rPr>
        <w:t xml:space="preserve"> </w:t>
      </w:r>
      <w:r w:rsidR="00AB7BCE">
        <w:rPr>
          <w:rFonts w:ascii="Arial" w:hAnsi="Arial" w:cs="Arial"/>
          <w:b/>
          <w:spacing w:val="-3"/>
          <w:sz w:val="20"/>
        </w:rPr>
        <w:t>February 3-7</w:t>
      </w:r>
      <w:r w:rsidR="00B206FC">
        <w:rPr>
          <w:rFonts w:ascii="Arial" w:hAnsi="Arial" w:cs="Arial"/>
          <w:b/>
          <w:spacing w:val="-3"/>
          <w:sz w:val="20"/>
        </w:rPr>
        <w:tab/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>:</w:t>
      </w:r>
      <w:r w:rsidR="00281EFB">
        <w:rPr>
          <w:rFonts w:ascii="Arial" w:hAnsi="Arial" w:cs="Arial"/>
          <w:b/>
          <w:spacing w:val="-3"/>
          <w:sz w:val="20"/>
        </w:rPr>
        <w:t>,2,3,4,6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29B36338" w:rsidR="001541B8" w:rsidRPr="001216CB" w:rsidRDefault="002B23D4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-</w:t>
            </w:r>
            <w:r w:rsidR="001541B8"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1837E2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CA789BC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subordinate clauses in complex sentences.</w:t>
            </w:r>
          </w:p>
          <w:p w14:paraId="525BBDA6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1CFB0E06" w14:textId="248766AB" w:rsidR="001837E2" w:rsidRPr="00BC7EDD" w:rsidRDefault="001837E2" w:rsidP="00183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differentiate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among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simple, compound, complex, and compound-complex sentences.</w:t>
            </w:r>
          </w:p>
        </w:tc>
        <w:tc>
          <w:tcPr>
            <w:tcW w:w="2467" w:type="dxa"/>
          </w:tcPr>
          <w:p w14:paraId="6D858039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</w:t>
            </w:r>
          </w:p>
          <w:p w14:paraId="642D41B1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2-Review Adjective Clauses</w:t>
            </w:r>
          </w:p>
          <w:p w14:paraId="5BA9A466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3—Adverb Clauses</w:t>
            </w:r>
          </w:p>
          <w:p w14:paraId="36E99C23" w14:textId="5CAF4B60" w:rsidR="001837E2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 *Notes</w:t>
            </w:r>
          </w:p>
          <w:p w14:paraId="273787A6" w14:textId="27B349D5" w:rsidR="001837E2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 *Practice together</w:t>
            </w:r>
          </w:p>
          <w:p w14:paraId="1E0C85DB" w14:textId="1F783F49" w:rsidR="001837E2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 * Workbook Pages</w:t>
            </w:r>
          </w:p>
          <w:p w14:paraId="5B468586" w14:textId="500BC00B" w:rsidR="001837E2" w:rsidRPr="003C4DBA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0FE413C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999D564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524D7CB5" w14:textId="11887032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Workbook Packet</w:t>
            </w:r>
          </w:p>
        </w:tc>
        <w:tc>
          <w:tcPr>
            <w:tcW w:w="2430" w:type="dxa"/>
          </w:tcPr>
          <w:p w14:paraId="3AE107E3" w14:textId="671A77EE" w:rsidR="001837E2" w:rsidRDefault="001837E2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 w:rsidRPr="00466776">
              <w:rPr>
                <w:rFonts w:ascii="Arial" w:hAnsi="Arial" w:cs="Arial"/>
                <w:b/>
                <w:bCs/>
                <w:spacing w:val="-2"/>
                <w:sz w:val="20"/>
              </w:rPr>
              <w:t>Vocab Week 18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:</w:t>
            </w:r>
          </w:p>
          <w:p w14:paraId="79203A0B" w14:textId="3A8A81CF" w:rsidR="001837E2" w:rsidRPr="00466776" w:rsidRDefault="001837E2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  <w:lang w:val="fr-FR"/>
              </w:rPr>
            </w:pPr>
            <w:proofErr w:type="spellStart"/>
            <w:r w:rsidRPr="00466776">
              <w:rPr>
                <w:rFonts w:ascii="Arial" w:hAnsi="Arial" w:cs="Arial"/>
                <w:b/>
                <w:bCs/>
                <w:spacing w:val="-2"/>
                <w:sz w:val="20"/>
                <w:lang w:val="fr-FR"/>
              </w:rPr>
              <w:t>Feckless</w:t>
            </w:r>
            <w:proofErr w:type="spellEnd"/>
            <w:r w:rsidRPr="00466776">
              <w:rPr>
                <w:rFonts w:ascii="Arial" w:hAnsi="Arial" w:cs="Arial"/>
                <w:b/>
                <w:bCs/>
                <w:spacing w:val="-2"/>
                <w:sz w:val="20"/>
                <w:lang w:val="fr-FR"/>
              </w:rPr>
              <w:t xml:space="preserve">, forte, </w:t>
            </w:r>
            <w:proofErr w:type="spellStart"/>
            <w:r w:rsidRPr="00466776">
              <w:rPr>
                <w:rFonts w:ascii="Arial" w:hAnsi="Arial" w:cs="Arial"/>
                <w:b/>
                <w:bCs/>
                <w:spacing w:val="-2"/>
                <w:sz w:val="20"/>
                <w:lang w:val="fr-FR"/>
              </w:rPr>
              <w:t>peruse</w:t>
            </w:r>
            <w:proofErr w:type="spellEnd"/>
            <w:r w:rsidRPr="00466776">
              <w:rPr>
                <w:rFonts w:ascii="Arial" w:hAnsi="Arial" w:cs="Arial"/>
                <w:b/>
                <w:bCs/>
                <w:spacing w:val="-2"/>
                <w:sz w:val="20"/>
                <w:lang w:val="fr-FR"/>
              </w:rPr>
              <w:t xml:space="preserve">, juxtapose, </w:t>
            </w:r>
            <w:proofErr w:type="spellStart"/>
            <w:r w:rsidRPr="00466776">
              <w:rPr>
                <w:rFonts w:ascii="Arial" w:hAnsi="Arial" w:cs="Arial"/>
                <w:b/>
                <w:bCs/>
                <w:spacing w:val="-2"/>
                <w:sz w:val="20"/>
                <w:lang w:val="fr-FR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lang w:val="fr-FR"/>
              </w:rPr>
              <w:t>etamorphosis</w:t>
            </w:r>
            <w:proofErr w:type="spellEnd"/>
          </w:p>
          <w:p w14:paraId="04433A27" w14:textId="509F031A" w:rsidR="001837E2" w:rsidRPr="00A27A7D" w:rsidRDefault="001837E2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Vocab due THURSDAY</w:t>
            </w:r>
          </w:p>
          <w:p w14:paraId="1298E272" w14:textId="2DD1AF79" w:rsidR="001837E2" w:rsidRPr="00A27A7D" w:rsidRDefault="001837E2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Workbook packet due Friday</w:t>
            </w:r>
          </w:p>
        </w:tc>
        <w:tc>
          <w:tcPr>
            <w:tcW w:w="1980" w:type="dxa"/>
          </w:tcPr>
          <w:p w14:paraId="62078EA6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0E33F254" w14:textId="49A97FC6" w:rsidR="001837E2" w:rsidRPr="006A73D9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homework</w:t>
            </w:r>
          </w:p>
        </w:tc>
        <w:tc>
          <w:tcPr>
            <w:tcW w:w="2250" w:type="dxa"/>
          </w:tcPr>
          <w:p w14:paraId="378A2AB0" w14:textId="77777777" w:rsidR="001837E2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4A9473FC" w14:textId="77777777" w:rsidR="001837E2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3C32606A" w14:textId="77777777" w:rsidR="001837E2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79E43BDB" w14:textId="73A9A27D" w:rsidR="001837E2" w:rsidRPr="00151FBD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1837E2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486A411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subordinate clauses in complex sentences.</w:t>
            </w:r>
          </w:p>
          <w:p w14:paraId="7C50F119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4700F76B" w14:textId="483E37FB" w:rsidR="001837E2" w:rsidRPr="00172A7B" w:rsidRDefault="001837E2" w:rsidP="00183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differentiate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among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simple, compound, complex, and compound-complex sentences.</w:t>
            </w:r>
          </w:p>
        </w:tc>
        <w:tc>
          <w:tcPr>
            <w:tcW w:w="2467" w:type="dxa"/>
          </w:tcPr>
          <w:p w14:paraId="3A2163BB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</w:t>
            </w:r>
          </w:p>
          <w:p w14:paraId="5FA0C1A7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2-Review Adjective &amp; Adverb Clauses</w:t>
            </w:r>
          </w:p>
          <w:p w14:paraId="757AC9F0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3—Noun Clauses</w:t>
            </w:r>
          </w:p>
          <w:p w14:paraId="0F1F626D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  *Notes</w:t>
            </w:r>
          </w:p>
          <w:p w14:paraId="1D696AC9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  *Practice Together</w:t>
            </w:r>
          </w:p>
          <w:p w14:paraId="758FD16F" w14:textId="659D5A2D" w:rsidR="001837E2" w:rsidRPr="00E253FD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  *Workbook Pages</w:t>
            </w:r>
          </w:p>
        </w:tc>
        <w:tc>
          <w:tcPr>
            <w:tcW w:w="2250" w:type="dxa"/>
          </w:tcPr>
          <w:p w14:paraId="29629213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58ABB65" w14:textId="7A0357CA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Workbook Packet</w:t>
            </w:r>
          </w:p>
        </w:tc>
        <w:tc>
          <w:tcPr>
            <w:tcW w:w="2430" w:type="dxa"/>
          </w:tcPr>
          <w:p w14:paraId="19B52721" w14:textId="48B03DA8" w:rsidR="001837E2" w:rsidRPr="00846887" w:rsidRDefault="001837E2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 w:rsidRPr="00846887">
              <w:rPr>
                <w:rFonts w:ascii="Arial" w:hAnsi="Arial" w:cs="Arial"/>
                <w:spacing w:val="-2"/>
                <w:sz w:val="20"/>
              </w:rPr>
              <w:t>1</w:t>
            </w:r>
            <w:r w:rsidR="00846887">
              <w:rPr>
                <w:rFonts w:ascii="Arial" w:hAnsi="Arial" w:cs="Arial"/>
                <w:spacing w:val="-2"/>
                <w:sz w:val="20"/>
              </w:rPr>
              <w:t>—V</w:t>
            </w:r>
            <w:r w:rsidRPr="00846887">
              <w:rPr>
                <w:rFonts w:ascii="Arial" w:hAnsi="Arial" w:cs="Arial"/>
                <w:spacing w:val="-2"/>
                <w:sz w:val="20"/>
              </w:rPr>
              <w:t>ocab Week 17 due Thursday</w:t>
            </w:r>
          </w:p>
          <w:p w14:paraId="55AAEEBC" w14:textId="562C0043" w:rsidR="001837E2" w:rsidRPr="00846887" w:rsidRDefault="00846887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2—Workbook Packet due Friday</w:t>
            </w:r>
          </w:p>
          <w:p w14:paraId="199582A8" w14:textId="27DFCA89" w:rsidR="001837E2" w:rsidRPr="00A27A7D" w:rsidRDefault="00846887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</w:t>
            </w:r>
            <w:r w:rsidR="001837E2">
              <w:rPr>
                <w:rFonts w:ascii="Arial" w:hAnsi="Arial" w:cs="Arial"/>
                <w:spacing w:val="-2"/>
                <w:sz w:val="20"/>
              </w:rPr>
              <w:t xml:space="preserve">Read Parts 6 &amp; 7 of </w:t>
            </w:r>
            <w:r w:rsidR="001837E2"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 w:rsidR="001837E2">
              <w:rPr>
                <w:rFonts w:ascii="Arial" w:hAnsi="Arial" w:cs="Arial"/>
                <w:spacing w:val="-2"/>
                <w:sz w:val="20"/>
              </w:rPr>
              <w:t xml:space="preserve"> for Tues, Feb 12</w:t>
            </w:r>
          </w:p>
          <w:p w14:paraId="5293B7BC" w14:textId="35C193E8" w:rsidR="001837E2" w:rsidRPr="008D0203" w:rsidRDefault="00846887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4—</w:t>
            </w:r>
            <w:r w:rsidR="001837E2">
              <w:rPr>
                <w:rFonts w:ascii="Arial" w:hAnsi="Arial" w:cs="Arial"/>
                <w:spacing w:val="-2"/>
                <w:sz w:val="20"/>
              </w:rPr>
              <w:t>Reading Journal 4 and Leaf 4 are due Wed, Feb 12</w:t>
            </w:r>
          </w:p>
        </w:tc>
        <w:tc>
          <w:tcPr>
            <w:tcW w:w="1980" w:type="dxa"/>
          </w:tcPr>
          <w:p w14:paraId="71BF3A09" w14:textId="77777777" w:rsidR="001837E2" w:rsidRDefault="001837E2" w:rsidP="001837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1837E2" w:rsidRDefault="001837E2" w:rsidP="001837E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3B227061" w:rsidR="001837E2" w:rsidRPr="001541B8" w:rsidRDefault="001837E2" w:rsidP="001837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quizzes</w:t>
            </w:r>
          </w:p>
        </w:tc>
        <w:tc>
          <w:tcPr>
            <w:tcW w:w="2250" w:type="dxa"/>
          </w:tcPr>
          <w:p w14:paraId="6B77E276" w14:textId="2F942633" w:rsidR="001837E2" w:rsidRPr="00151FBD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E2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058BDC3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subordinate clauses in complex sentences.</w:t>
            </w:r>
          </w:p>
          <w:p w14:paraId="3539A969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41763A6A" w14:textId="6C6AFA20" w:rsidR="001837E2" w:rsidRPr="001216CB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differentiate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among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simple, compound, complex, and compound-complex sentences.</w:t>
            </w:r>
          </w:p>
        </w:tc>
        <w:tc>
          <w:tcPr>
            <w:tcW w:w="2467" w:type="dxa"/>
          </w:tcPr>
          <w:p w14:paraId="1409F7EA" w14:textId="59C15709" w:rsidR="001837E2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</w:t>
            </w:r>
          </w:p>
          <w:p w14:paraId="60D8C931" w14:textId="0C21238D" w:rsidR="001837E2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846887">
              <w:rPr>
                <w:rFonts w:ascii="Arial" w:hAnsi="Arial" w:cs="Arial"/>
                <w:spacing w:val="-2"/>
                <w:sz w:val="20"/>
              </w:rPr>
              <w:t xml:space="preserve">Review Adjective, Adverb, </w:t>
            </w:r>
            <w:proofErr w:type="gramStart"/>
            <w:r w:rsidR="00846887">
              <w:rPr>
                <w:rFonts w:ascii="Arial" w:hAnsi="Arial" w:cs="Arial"/>
                <w:spacing w:val="-2"/>
                <w:sz w:val="20"/>
              </w:rPr>
              <w:t>&amp;  Noun</w:t>
            </w:r>
            <w:proofErr w:type="gramEnd"/>
            <w:r w:rsidR="00846887">
              <w:rPr>
                <w:rFonts w:ascii="Arial" w:hAnsi="Arial" w:cs="Arial"/>
                <w:spacing w:val="-2"/>
                <w:sz w:val="20"/>
              </w:rPr>
              <w:t xml:space="preserve"> Clauses</w:t>
            </w:r>
          </w:p>
          <w:p w14:paraId="155228E0" w14:textId="74D169A8" w:rsidR="00846887" w:rsidRPr="003C4DBA" w:rsidRDefault="00846887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3—Differentiating among simple, compound, complex, and compound-complex sentences</w:t>
            </w:r>
          </w:p>
          <w:p w14:paraId="2DC60DCF" w14:textId="79606518" w:rsidR="001837E2" w:rsidRPr="001B295C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20C9917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60934425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859C77E" w14:textId="6D4BDBB6" w:rsidR="001837E2" w:rsidRPr="00A27A7D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Workbook Packet</w:t>
            </w:r>
          </w:p>
        </w:tc>
        <w:tc>
          <w:tcPr>
            <w:tcW w:w="2430" w:type="dxa"/>
          </w:tcPr>
          <w:p w14:paraId="7026822E" w14:textId="77777777" w:rsidR="00846887" w:rsidRPr="00846887" w:rsidRDefault="00846887" w:rsidP="00846887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 w:rsidRPr="00846887">
              <w:rPr>
                <w:rFonts w:ascii="Arial" w:hAnsi="Arial" w:cs="Arial"/>
                <w:spacing w:val="-2"/>
                <w:sz w:val="20"/>
              </w:rPr>
              <w:t>1</w:t>
            </w:r>
            <w:r>
              <w:rPr>
                <w:rFonts w:ascii="Arial" w:hAnsi="Arial" w:cs="Arial"/>
                <w:spacing w:val="-2"/>
                <w:sz w:val="20"/>
              </w:rPr>
              <w:t>—V</w:t>
            </w:r>
            <w:r w:rsidRPr="00846887">
              <w:rPr>
                <w:rFonts w:ascii="Arial" w:hAnsi="Arial" w:cs="Arial"/>
                <w:spacing w:val="-2"/>
                <w:sz w:val="20"/>
              </w:rPr>
              <w:t>ocab Week 17 due Thursday</w:t>
            </w:r>
          </w:p>
          <w:p w14:paraId="105D1EC4" w14:textId="77777777" w:rsidR="00846887" w:rsidRPr="00846887" w:rsidRDefault="00846887" w:rsidP="00846887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2—Workbook Packet due Friday</w:t>
            </w:r>
          </w:p>
          <w:p w14:paraId="5F720903" w14:textId="77777777" w:rsidR="00846887" w:rsidRPr="00A27A7D" w:rsidRDefault="00846887" w:rsidP="00846887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3—Read Parts 6 &amp; 7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for Tues, Feb 12</w:t>
            </w:r>
          </w:p>
          <w:p w14:paraId="07471933" w14:textId="34D0A0B1" w:rsidR="001837E2" w:rsidRPr="008D0203" w:rsidRDefault="00846887" w:rsidP="00846887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4—Reading Journal 4 and Leaf 4 are due Wed, Feb 12</w:t>
            </w:r>
          </w:p>
        </w:tc>
        <w:tc>
          <w:tcPr>
            <w:tcW w:w="1980" w:type="dxa"/>
          </w:tcPr>
          <w:p w14:paraId="4D9E66A2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0D43C07" w14:textId="439D50FB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90FB6F3" w14:textId="77777777" w:rsidR="001837E2" w:rsidRPr="00151FBD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E2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C25020C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subordinate clauses in complex sentences.</w:t>
            </w:r>
          </w:p>
          <w:p w14:paraId="42CC70D5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4A70BD1E" w14:textId="3811797D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differentiate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among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simple, compound, complex, and compound-complex sentences.</w:t>
            </w:r>
          </w:p>
        </w:tc>
        <w:tc>
          <w:tcPr>
            <w:tcW w:w="2467" w:type="dxa"/>
          </w:tcPr>
          <w:p w14:paraId="6AD0B956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</w:t>
            </w:r>
          </w:p>
          <w:p w14:paraId="64631AC4" w14:textId="392B7073" w:rsidR="001837E2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846887">
              <w:rPr>
                <w:rFonts w:ascii="Arial" w:hAnsi="Arial" w:cs="Arial"/>
                <w:spacing w:val="-2"/>
                <w:sz w:val="20"/>
              </w:rPr>
              <w:t>Sentence Combining using clauses</w:t>
            </w:r>
          </w:p>
          <w:p w14:paraId="71E9A555" w14:textId="6952EE48" w:rsidR="00846887" w:rsidRPr="003C4DBA" w:rsidRDefault="00846887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3-Review</w:t>
            </w:r>
          </w:p>
          <w:p w14:paraId="3162D2AD" w14:textId="6CBDC2B5" w:rsidR="001837E2" w:rsidRPr="008D0203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73914CF" w14:textId="77777777" w:rsidR="001837E2" w:rsidRDefault="001837E2" w:rsidP="00183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23E01A80" w14:textId="77777777" w:rsidR="001837E2" w:rsidRDefault="001837E2" w:rsidP="001837E2">
            <w:pPr>
              <w:rPr>
                <w:rFonts w:ascii="Arial" w:hAnsi="Arial" w:cs="Arial"/>
                <w:sz w:val="20"/>
              </w:rPr>
            </w:pPr>
          </w:p>
          <w:p w14:paraId="063003AF" w14:textId="1238D4B9" w:rsidR="001837E2" w:rsidRPr="00E17226" w:rsidRDefault="001837E2" w:rsidP="00183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Workbook Packet</w:t>
            </w:r>
          </w:p>
        </w:tc>
        <w:tc>
          <w:tcPr>
            <w:tcW w:w="2430" w:type="dxa"/>
          </w:tcPr>
          <w:p w14:paraId="6D923159" w14:textId="511BA9E4" w:rsidR="00846887" w:rsidRPr="00846887" w:rsidRDefault="00846887" w:rsidP="00846887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1—Workbook Packet due Friday</w:t>
            </w:r>
          </w:p>
          <w:p w14:paraId="1C7C1F6A" w14:textId="25CB8841" w:rsidR="00846887" w:rsidRPr="00A27A7D" w:rsidRDefault="00846887" w:rsidP="00846887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2—Read Parts 6 &amp; 7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for Tues, Feb 12</w:t>
            </w:r>
          </w:p>
          <w:p w14:paraId="7B0A07CB" w14:textId="32049891" w:rsidR="001837E2" w:rsidRPr="006749C5" w:rsidRDefault="00846887" w:rsidP="00846887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3—Reading Journal 4 and Leaf 4 are due Wed, Feb 12</w:t>
            </w:r>
          </w:p>
        </w:tc>
        <w:tc>
          <w:tcPr>
            <w:tcW w:w="1980" w:type="dxa"/>
          </w:tcPr>
          <w:p w14:paraId="4AD9F1EE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623029E" w14:textId="746DCE4E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82821FF" w14:textId="77777777" w:rsidR="001837E2" w:rsidRPr="005B3952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E2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lastRenderedPageBreak/>
              <w:t xml:space="preserve"> F</w:t>
            </w:r>
          </w:p>
          <w:p w14:paraId="53E6853D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16E8FA6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subordinate clauses in complex sentences.</w:t>
            </w:r>
          </w:p>
          <w:p w14:paraId="5989819C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50A6F6CB" w14:textId="0B3E2141" w:rsidR="001837E2" w:rsidRPr="00EF30DC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differentiate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among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simple, compound, complex, and compound-complex sentences.</w:t>
            </w:r>
          </w:p>
        </w:tc>
        <w:tc>
          <w:tcPr>
            <w:tcW w:w="2467" w:type="dxa"/>
          </w:tcPr>
          <w:p w14:paraId="215EE7A8" w14:textId="77777777" w:rsidR="001837E2" w:rsidRDefault="00846887" w:rsidP="0084688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1—Clauses &amp; Complex Sentence TEST</w:t>
            </w:r>
          </w:p>
          <w:p w14:paraId="1991216E" w14:textId="24F026A0" w:rsidR="00846887" w:rsidRPr="008D0203" w:rsidRDefault="00846887" w:rsidP="0084688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2—Vocab Crossword 9</w:t>
            </w:r>
          </w:p>
        </w:tc>
        <w:tc>
          <w:tcPr>
            <w:tcW w:w="2250" w:type="dxa"/>
          </w:tcPr>
          <w:p w14:paraId="44C58D3B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9CBFAA3" w14:textId="0DD48BA9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Elmo</w:t>
            </w:r>
          </w:p>
          <w:p w14:paraId="1F1FF148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D82C8CD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 w:rsidRPr="00846887">
              <w:rPr>
                <w:rFonts w:ascii="Arial" w:hAnsi="Arial" w:cs="Arial"/>
                <w:spacing w:val="-2"/>
                <w:sz w:val="20"/>
              </w:rPr>
              <w:t xml:space="preserve">Teacher made </w:t>
            </w:r>
            <w:r w:rsidR="00846887">
              <w:rPr>
                <w:rFonts w:ascii="Arial" w:hAnsi="Arial" w:cs="Arial"/>
                <w:spacing w:val="-2"/>
                <w:sz w:val="20"/>
              </w:rPr>
              <w:t>test</w:t>
            </w:r>
          </w:p>
          <w:p w14:paraId="270ED146" w14:textId="77777777" w:rsidR="00846887" w:rsidRDefault="00846887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2202E432" w14:textId="118C576B" w:rsidR="00846887" w:rsidRPr="00846887" w:rsidRDefault="00846887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crossword</w:t>
            </w:r>
          </w:p>
        </w:tc>
        <w:tc>
          <w:tcPr>
            <w:tcW w:w="2430" w:type="dxa"/>
          </w:tcPr>
          <w:p w14:paraId="39078FCD" w14:textId="77777777" w:rsidR="001837E2" w:rsidRDefault="00846887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1—Vocab Crossword 9 due Monday</w:t>
            </w:r>
          </w:p>
          <w:p w14:paraId="56D5729A" w14:textId="1DBEE4D7" w:rsidR="00846887" w:rsidRDefault="00846887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2—Study for Vocab Test 9 on Monday</w:t>
            </w:r>
          </w:p>
          <w:p w14:paraId="0771F438" w14:textId="77777777" w:rsidR="00846887" w:rsidRPr="00A27A7D" w:rsidRDefault="00846887" w:rsidP="00846887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3—Read Parts 6 &amp; 7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for Tues, Feb 12</w:t>
            </w:r>
          </w:p>
          <w:p w14:paraId="63F90C4E" w14:textId="39B2CDE1" w:rsidR="00846887" w:rsidRPr="00AD643A" w:rsidRDefault="00846887" w:rsidP="00846887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4—Reading Journal 4 and Leaf 4 are due Wed, Feb 12</w:t>
            </w:r>
          </w:p>
        </w:tc>
        <w:tc>
          <w:tcPr>
            <w:tcW w:w="1980" w:type="dxa"/>
          </w:tcPr>
          <w:p w14:paraId="0484A81E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52D0BCB8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6D5ADEE8" w14:textId="23BAF2F9" w:rsidR="001837E2" w:rsidRPr="001216CB" w:rsidRDefault="00846887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test</w:t>
            </w:r>
          </w:p>
        </w:tc>
        <w:tc>
          <w:tcPr>
            <w:tcW w:w="2250" w:type="dxa"/>
          </w:tcPr>
          <w:p w14:paraId="522659D9" w14:textId="74C73F09" w:rsidR="001837E2" w:rsidRPr="00151FBD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6A0D3B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09262D"/>
    <w:rsid w:val="00116A08"/>
    <w:rsid w:val="00125C6F"/>
    <w:rsid w:val="001541B8"/>
    <w:rsid w:val="00172A7B"/>
    <w:rsid w:val="001837E2"/>
    <w:rsid w:val="001A0286"/>
    <w:rsid w:val="001A0FE3"/>
    <w:rsid w:val="001A5B7B"/>
    <w:rsid w:val="001B295C"/>
    <w:rsid w:val="002230E8"/>
    <w:rsid w:val="002277DC"/>
    <w:rsid w:val="00281EFB"/>
    <w:rsid w:val="002B23D4"/>
    <w:rsid w:val="00325153"/>
    <w:rsid w:val="00353ABD"/>
    <w:rsid w:val="0035491D"/>
    <w:rsid w:val="00357CC5"/>
    <w:rsid w:val="00392ABC"/>
    <w:rsid w:val="003B3275"/>
    <w:rsid w:val="003C2A26"/>
    <w:rsid w:val="003C4DBA"/>
    <w:rsid w:val="0040565C"/>
    <w:rsid w:val="00412DCF"/>
    <w:rsid w:val="00426C75"/>
    <w:rsid w:val="0043053C"/>
    <w:rsid w:val="00446587"/>
    <w:rsid w:val="0044775E"/>
    <w:rsid w:val="004573C0"/>
    <w:rsid w:val="00466776"/>
    <w:rsid w:val="004B5523"/>
    <w:rsid w:val="004B6A05"/>
    <w:rsid w:val="004D0F20"/>
    <w:rsid w:val="0053486A"/>
    <w:rsid w:val="005936CB"/>
    <w:rsid w:val="005B3952"/>
    <w:rsid w:val="00621228"/>
    <w:rsid w:val="00630382"/>
    <w:rsid w:val="00645049"/>
    <w:rsid w:val="006749C5"/>
    <w:rsid w:val="006769FB"/>
    <w:rsid w:val="006A0D3B"/>
    <w:rsid w:val="006A45B9"/>
    <w:rsid w:val="006A73D9"/>
    <w:rsid w:val="006B0711"/>
    <w:rsid w:val="006C02C6"/>
    <w:rsid w:val="00744B83"/>
    <w:rsid w:val="00744EE8"/>
    <w:rsid w:val="007452BD"/>
    <w:rsid w:val="007479B7"/>
    <w:rsid w:val="007521D0"/>
    <w:rsid w:val="00792BEB"/>
    <w:rsid w:val="007D0C44"/>
    <w:rsid w:val="007F138C"/>
    <w:rsid w:val="00810DD4"/>
    <w:rsid w:val="00846887"/>
    <w:rsid w:val="00854231"/>
    <w:rsid w:val="008679C2"/>
    <w:rsid w:val="008D0203"/>
    <w:rsid w:val="00920C02"/>
    <w:rsid w:val="00924AD4"/>
    <w:rsid w:val="00924EB8"/>
    <w:rsid w:val="00953F31"/>
    <w:rsid w:val="00957130"/>
    <w:rsid w:val="009C2408"/>
    <w:rsid w:val="00A012BD"/>
    <w:rsid w:val="00A232BF"/>
    <w:rsid w:val="00A27A7D"/>
    <w:rsid w:val="00A43675"/>
    <w:rsid w:val="00A45C8E"/>
    <w:rsid w:val="00A74CE7"/>
    <w:rsid w:val="00A8094A"/>
    <w:rsid w:val="00A952E5"/>
    <w:rsid w:val="00AA2814"/>
    <w:rsid w:val="00AA6985"/>
    <w:rsid w:val="00AB7BCE"/>
    <w:rsid w:val="00AD643A"/>
    <w:rsid w:val="00AD75B6"/>
    <w:rsid w:val="00AE55CA"/>
    <w:rsid w:val="00B02868"/>
    <w:rsid w:val="00B206FC"/>
    <w:rsid w:val="00B5796F"/>
    <w:rsid w:val="00B61136"/>
    <w:rsid w:val="00B65CDF"/>
    <w:rsid w:val="00B745F8"/>
    <w:rsid w:val="00B877F2"/>
    <w:rsid w:val="00BA3A97"/>
    <w:rsid w:val="00BC7EDD"/>
    <w:rsid w:val="00C222FF"/>
    <w:rsid w:val="00C51133"/>
    <w:rsid w:val="00C55E7F"/>
    <w:rsid w:val="00C56AEA"/>
    <w:rsid w:val="00C74030"/>
    <w:rsid w:val="00C76063"/>
    <w:rsid w:val="00C862C2"/>
    <w:rsid w:val="00CC5968"/>
    <w:rsid w:val="00CD02DF"/>
    <w:rsid w:val="00CE3193"/>
    <w:rsid w:val="00CF09F3"/>
    <w:rsid w:val="00CF30C4"/>
    <w:rsid w:val="00D018FA"/>
    <w:rsid w:val="00D8143E"/>
    <w:rsid w:val="00D86C9A"/>
    <w:rsid w:val="00DE6CCC"/>
    <w:rsid w:val="00E17226"/>
    <w:rsid w:val="00E253FD"/>
    <w:rsid w:val="00E3387F"/>
    <w:rsid w:val="00E54243"/>
    <w:rsid w:val="00E76D6A"/>
    <w:rsid w:val="00E96F0A"/>
    <w:rsid w:val="00EA3BF7"/>
    <w:rsid w:val="00EC464A"/>
    <w:rsid w:val="00EE5665"/>
    <w:rsid w:val="00EE594D"/>
    <w:rsid w:val="00EF30DC"/>
    <w:rsid w:val="00F86597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2025-01-31T19:45:00Z</dcterms:created>
  <dcterms:modified xsi:type="dcterms:W3CDTF">2025-01-31T19:45:00Z</dcterms:modified>
</cp:coreProperties>
</file>