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2854"/>
        <w:gridCol w:w="1980"/>
        <w:gridCol w:w="2545"/>
        <w:tblGridChange w:id="0">
          <w:tblGrid>
            <w:gridCol w:w="2211"/>
            <w:gridCol w:w="2854"/>
            <w:gridCol w:w="1980"/>
            <w:gridCol w:w="2545"/>
          </w:tblGrid>
        </w:tblGridChange>
      </w:tblGrid>
      <w:tr>
        <w:trPr>
          <w:cantSplit w:val="0"/>
          <w:trHeight w:val="303" w:hRule="atLeast"/>
          <w:tblHeader w:val="0"/>
        </w:trPr>
        <w:tc>
          <w:tcPr>
            <w:shd w:fill="f2f2f2" w:val="clear"/>
          </w:tcPr>
          <w:p w:rsidR="00000000" w:rsidDel="00000000" w:rsidP="00000000" w:rsidRDefault="00000000" w:rsidRPr="00000000" w14:paraId="00000002">
            <w:pPr>
              <w:pStyle w:val="Heading2"/>
              <w:rPr>
                <w:sz w:val="24"/>
                <w:szCs w:val="24"/>
              </w:rPr>
            </w:pPr>
            <w:r w:rsidDel="00000000" w:rsidR="00000000" w:rsidRPr="00000000">
              <w:rPr>
                <w:sz w:val="24"/>
                <w:szCs w:val="24"/>
                <w:rtl w:val="0"/>
              </w:rPr>
              <w:t xml:space="preserve">Job Title</w:t>
            </w:r>
          </w:p>
        </w:tc>
        <w:tc>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Psychometrist I</w:t>
            </w:r>
          </w:p>
        </w:tc>
        <w:tc>
          <w:tcPr>
            <w:shd w:fill="f2f2f2" w:val="clear"/>
          </w:tcPr>
          <w:p w:rsidR="00000000" w:rsidDel="00000000" w:rsidP="00000000" w:rsidRDefault="00000000" w:rsidRPr="00000000" w14:paraId="00000004">
            <w:pPr>
              <w:pStyle w:val="Heading2"/>
              <w:rPr>
                <w:sz w:val="24"/>
                <w:szCs w:val="24"/>
              </w:rPr>
            </w:pPr>
            <w:r w:rsidDel="00000000" w:rsidR="00000000" w:rsidRPr="00000000">
              <w:rPr>
                <w:sz w:val="24"/>
                <w:szCs w:val="24"/>
                <w:rtl w:val="0"/>
              </w:rPr>
              <w:t xml:space="preserve">Job Category</w:t>
            </w:r>
          </w:p>
        </w:tc>
        <w:tc>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Certified</w:t>
            </w:r>
          </w:p>
        </w:tc>
      </w:tr>
      <w:tr>
        <w:trPr>
          <w:cantSplit w:val="0"/>
          <w:tblHeader w:val="0"/>
        </w:trPr>
        <w:tc>
          <w:tcPr>
            <w:shd w:fill="f2f2f2" w:val="clear"/>
          </w:tcPr>
          <w:p w:rsidR="00000000" w:rsidDel="00000000" w:rsidP="00000000" w:rsidRDefault="00000000" w:rsidRPr="00000000" w14:paraId="00000006">
            <w:pPr>
              <w:pStyle w:val="Heading2"/>
              <w:rPr>
                <w:sz w:val="24"/>
                <w:szCs w:val="24"/>
              </w:rPr>
            </w:pPr>
            <w:r w:rsidDel="00000000" w:rsidR="00000000" w:rsidRPr="00000000">
              <w:rPr>
                <w:sz w:val="24"/>
                <w:szCs w:val="24"/>
                <w:rtl w:val="0"/>
              </w:rPr>
              <w:t xml:space="preserve">Department/Group</w:t>
            </w:r>
          </w:p>
        </w:tc>
        <w:tc>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 </w:t>
            </w:r>
          </w:p>
        </w:tc>
        <w:tc>
          <w:tcPr>
            <w:shd w:fill="f2f2f2" w:val="clear"/>
          </w:tcPr>
          <w:p w:rsidR="00000000" w:rsidDel="00000000" w:rsidP="00000000" w:rsidRDefault="00000000" w:rsidRPr="00000000" w14:paraId="00000008">
            <w:pPr>
              <w:pStyle w:val="Heading2"/>
              <w:rPr>
                <w:sz w:val="24"/>
                <w:szCs w:val="24"/>
              </w:rPr>
            </w:pPr>
            <w:r w:rsidDel="00000000" w:rsidR="00000000" w:rsidRPr="00000000">
              <w:rPr>
                <w:sz w:val="24"/>
                <w:szCs w:val="24"/>
                <w:rtl w:val="0"/>
              </w:rPr>
              <w:t xml:space="preserve">Term of Contract</w:t>
            </w:r>
          </w:p>
        </w:tc>
        <w:tc>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sz w:val="24"/>
                <w:szCs w:val="24"/>
                <w:rtl w:val="0"/>
              </w:rPr>
              <w:t xml:space="preserve">10</w:t>
            </w:r>
            <w:r w:rsidDel="00000000" w:rsidR="00000000" w:rsidRPr="00000000">
              <w:rPr>
                <w:rFonts w:ascii="Calibri" w:cs="Calibri" w:eastAsia="Calibri" w:hAnsi="Calibri"/>
                <w:sz w:val="24"/>
                <w:szCs w:val="24"/>
                <w:rtl w:val="0"/>
              </w:rPr>
              <w:t xml:space="preserve"> Months (187 days)</w:t>
            </w:r>
          </w:p>
        </w:tc>
      </w:tr>
      <w:tr>
        <w:trPr>
          <w:cantSplit w:val="0"/>
          <w:tblHeader w:val="0"/>
        </w:trPr>
        <w:tc>
          <w:tcPr>
            <w:shd w:fill="f2f2f2" w:val="clear"/>
          </w:tcPr>
          <w:p w:rsidR="00000000" w:rsidDel="00000000" w:rsidP="00000000" w:rsidRDefault="00000000" w:rsidRPr="00000000" w14:paraId="0000000A">
            <w:pPr>
              <w:pStyle w:val="Heading2"/>
              <w:rPr>
                <w:sz w:val="24"/>
                <w:szCs w:val="24"/>
              </w:rPr>
            </w:pPr>
            <w:r w:rsidDel="00000000" w:rsidR="00000000" w:rsidRPr="00000000">
              <w:rPr>
                <w:sz w:val="24"/>
                <w:szCs w:val="24"/>
                <w:rtl w:val="0"/>
              </w:rPr>
              <w:t xml:space="preserve">Location</w:t>
            </w:r>
          </w:p>
        </w:tc>
        <w:tc>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Central Office</w:t>
            </w:r>
          </w:p>
        </w:tc>
        <w:tc>
          <w:tcPr>
            <w:shd w:fill="f2f2f2" w:val="clear"/>
          </w:tcPr>
          <w:p w:rsidR="00000000" w:rsidDel="00000000" w:rsidP="00000000" w:rsidRDefault="00000000" w:rsidRPr="00000000" w14:paraId="0000000C">
            <w:pPr>
              <w:pStyle w:val="Heading2"/>
              <w:rPr>
                <w:sz w:val="24"/>
                <w:szCs w:val="24"/>
              </w:rPr>
            </w:pPr>
            <w:r w:rsidDel="00000000" w:rsidR="00000000" w:rsidRPr="00000000">
              <w:rPr>
                <w:sz w:val="24"/>
                <w:szCs w:val="24"/>
                <w:rtl w:val="0"/>
              </w:rPr>
              <w:t xml:space="preserve">Travel Required</w:t>
            </w:r>
          </w:p>
        </w:tc>
        <w:tc>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blHeader w:val="0"/>
        </w:trPr>
        <w:tc>
          <w:tcPr>
            <w:shd w:fill="f2f2f2" w:val="clear"/>
          </w:tcPr>
          <w:p w:rsidR="00000000" w:rsidDel="00000000" w:rsidP="00000000" w:rsidRDefault="00000000" w:rsidRPr="00000000" w14:paraId="0000000E">
            <w:pPr>
              <w:pStyle w:val="Heading2"/>
              <w:rPr>
                <w:sz w:val="24"/>
                <w:szCs w:val="24"/>
              </w:rPr>
            </w:pPr>
            <w:r w:rsidDel="00000000" w:rsidR="00000000" w:rsidRPr="00000000">
              <w:rPr>
                <w:sz w:val="24"/>
                <w:szCs w:val="24"/>
                <w:rtl w:val="0"/>
              </w:rPr>
              <w:t xml:space="preserve">Level/Salary Range</w:t>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10 month teacher</w:t>
            </w:r>
            <w:r w:rsidDel="00000000" w:rsidR="00000000" w:rsidRPr="00000000">
              <w:rPr>
                <w:rtl w:val="0"/>
              </w:rPr>
            </w:r>
          </w:p>
        </w:tc>
        <w:tc>
          <w:tcPr>
            <w:shd w:fill="f2f2f2" w:val="clear"/>
          </w:tcPr>
          <w:p w:rsidR="00000000" w:rsidDel="00000000" w:rsidP="00000000" w:rsidRDefault="00000000" w:rsidRPr="00000000" w14:paraId="00000010">
            <w:pPr>
              <w:pStyle w:val="Heading2"/>
              <w:rPr>
                <w:sz w:val="24"/>
                <w:szCs w:val="24"/>
              </w:rPr>
            </w:pPr>
            <w:r w:rsidDel="00000000" w:rsidR="00000000" w:rsidRPr="00000000">
              <w:rPr>
                <w:sz w:val="24"/>
                <w:szCs w:val="24"/>
                <w:rtl w:val="0"/>
              </w:rPr>
              <w:t xml:space="preserve">Position Type</w:t>
            </w:r>
          </w:p>
        </w:tc>
        <w:tc>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Time</w:t>
            </w:r>
          </w:p>
        </w:tc>
      </w:tr>
    </w:tb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2"/>
        <w:tblW w:w="9590.0" w:type="dxa"/>
        <w:jc w:val="left"/>
        <w:tblInd w:w="0.0" w:type="dxa"/>
        <w:tblBorders>
          <w:top w:color="bfbfbf" w:space="0" w:sz="4" w:val="single"/>
          <w:left w:color="000000" w:space="0" w:sz="4" w:val="single"/>
          <w:bottom w:color="bfbfbf" w:space="0" w:sz="4" w:val="single"/>
          <w:right w:color="000000" w:space="0" w:sz="4" w:val="single"/>
          <w:insideH w:color="000000" w:space="0" w:sz="4" w:val="single"/>
          <w:insideV w:color="000000" w:space="0" w:sz="4" w:val="single"/>
        </w:tblBorders>
        <w:tblLayout w:type="fixed"/>
        <w:tblLook w:val="0600"/>
      </w:tblPr>
      <w:tblGrid>
        <w:gridCol w:w="2210"/>
        <w:gridCol w:w="7380"/>
        <w:tblGridChange w:id="0">
          <w:tblGrid>
            <w:gridCol w:w="2210"/>
            <w:gridCol w:w="7380"/>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13">
            <w:pPr>
              <w:pStyle w:val="Heading2"/>
              <w:spacing w:after="30" w:lineRule="auto"/>
              <w:rPr>
                <w:sz w:val="24"/>
                <w:szCs w:val="24"/>
              </w:rPr>
            </w:pPr>
            <w:r w:rsidDel="00000000" w:rsidR="00000000" w:rsidRPr="00000000">
              <w:rPr>
                <w:sz w:val="24"/>
                <w:szCs w:val="24"/>
                <w:rtl w:val="0"/>
              </w:rPr>
              <w:t xml:space="preserve">Reports to:</w:t>
            </w:r>
          </w:p>
        </w:tc>
        <w:tc>
          <w:tcPr>
            <w:tcBorders>
              <w:bottom w:color="000000" w:space="0" w:sz="4" w:val="single"/>
            </w:tcBorders>
          </w:tcPr>
          <w:p w:rsidR="00000000" w:rsidDel="00000000" w:rsidP="00000000" w:rsidRDefault="00000000" w:rsidRPr="00000000" w14:paraId="00000014">
            <w:pPr>
              <w:spacing w:after="3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 Director</w:t>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3"/>
        <w:tblW w:w="9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0"/>
        <w:tblGridChange w:id="0">
          <w:tblGrid>
            <w:gridCol w:w="9590"/>
          </w:tblGrid>
        </w:tblGridChange>
      </w:tblGrid>
      <w:tr>
        <w:trPr>
          <w:cantSplit w:val="0"/>
          <w:tblHeader w:val="0"/>
        </w:trPr>
        <w:tc>
          <w:tcPr>
            <w:tcBorders>
              <w:top w:color="000000" w:space="0" w:sz="4" w:val="single"/>
            </w:tcBorders>
            <w:shd w:fill="d9d9d9"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Description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improve the academic achievement, behavioral/social skills, and emotional well-</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being of all students through direct contact with students or through testing and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consultations with other professionals.</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79" w:line="278.00000000000006" w:lineRule="auto"/>
              <w:ind w:left="0" w:right="23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Mar>
              <w:bottom w:w="115.0" w:type="dxa"/>
            </w:tcMar>
          </w:tcPr>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Responsibilities</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administer, score, and interpret tests of intelligence, academic achievement, and personality and attitudes of referred students.</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student records and analyze information pertinent to student learning.</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determining test score eligibility or non-eligibility of individuals for programs and services for students with disabilities.</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evaluation findings to parents, teachers, and others through written reports and oral presentations.</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for prompt testing of new referrals and timely re-evaluation of students receiving special education services.</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parent/guardian conferences to include eligibility meetings, IEP meetings, and other conferences upon request.</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timelines which have been set for assigned tasks.</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Analyze evaluation data and formulate hypotheses and conclusions relating to learning and behavioral issues.</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accurate and comprehensive records of students who have been evaluated for special education programs.</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as a member of school educational planning teams and staffing teams to assist in developing plans for students.</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sz w:val="24"/>
                <w:szCs w:val="24"/>
                <w:u w:val="none"/>
              </w:rPr>
            </w:pPr>
            <w:r w:rsidDel="00000000" w:rsidR="00000000" w:rsidRPr="00000000">
              <w:rPr>
                <w:sz w:val="24"/>
                <w:szCs w:val="24"/>
                <w:rtl w:val="0"/>
              </w:rPr>
              <w:t xml:space="preserve">Administer evaluations and hold meetings as applicable during the months when school is not in session.</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sz w:val="24"/>
                <w:szCs w:val="24"/>
                <w:u w:val="none"/>
              </w:rPr>
            </w:pPr>
            <w:r w:rsidDel="00000000" w:rsidR="00000000" w:rsidRPr="00000000">
              <w:rPr>
                <w:sz w:val="24"/>
                <w:szCs w:val="24"/>
                <w:rtl w:val="0"/>
              </w:rPr>
              <w:t xml:space="preserve">Select, administer, and score gifted assessments as required during months when students are not in school.</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sz w:val="24"/>
                <w:szCs w:val="24"/>
                <w:u w:val="none"/>
              </w:rPr>
            </w:pPr>
            <w:r w:rsidDel="00000000" w:rsidR="00000000" w:rsidRPr="00000000">
              <w:rPr>
                <w:sz w:val="24"/>
                <w:szCs w:val="24"/>
                <w:rtl w:val="0"/>
              </w:rPr>
              <w:t xml:space="preserve">Purge inactive records including assessment records, etc as outlined in Alabama records destruction policies.</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local and state Board policies.</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interpretation of state and federal rules, laws and policies as they relate to identification, placement and service provisions for students with disabilities or gifted ability and maintain current knowledge of the same.</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in-service education to regular classroom teachers, when requested, concerning special education matters.</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working relationships with all stakeholders, including administration, teachers, other service providers, and parents.</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confidentiality of all Board of Education business.</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regular and punctual in attendance.</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such other reasonable job-related tasks as may be assigned.</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Working Environment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6" w:line="276" w:lineRule="auto"/>
              <w:ind w:left="64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usual and customary methods of performing the job's functions require the following physical demands: some lifting, carrying, pushing, and/or pulling. This job is performed in a generally clean and healthy environment.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6" w:line="276" w:lineRule="auto"/>
              <w:ind w:left="64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6" w:line="276" w:lineRule="auto"/>
              <w:ind w:left="0" w:right="11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66" w:line="276" w:lineRule="auto"/>
              <w:ind w:left="720" w:right="114"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Alabama certification as a Psychometrist, possessing a master’s level degree or above from an accredited institution.</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66" w:line="276" w:lineRule="auto"/>
              <w:ind w:left="720" w:right="114"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Minimum of three years teaching experience.</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66" w:line="276" w:lineRule="auto"/>
              <w:ind w:left="720" w:right="114"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Such alternatives to the above as the Board may deem appropriate and acceptable.</w:t>
            </w: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A">
      <w:pPr>
        <w:jc w:val="both"/>
        <w:rPr>
          <w:sz w:val="24"/>
          <w:szCs w:val="24"/>
        </w:rPr>
      </w:pPr>
      <w:r w:rsidDel="00000000" w:rsidR="00000000" w:rsidRPr="00000000">
        <w:rPr>
          <w:rtl w:val="0"/>
        </w:rPr>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Board Approved October 19, 2021</w:t>
      </w:r>
    </w:p>
    <w:sectPr>
      <w:headerReference r:id="rId7" w:type="default"/>
      <w:headerReference r:id="rId8" w:type="first"/>
      <w:footerReference r:id="rId9"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838325" cy="942975"/>
          <wp:effectExtent b="0" l="0" r="0" t="0"/>
          <wp:docPr descr="cid:D03856AD-4870-4F67-9C47-D508705B646D" id="7" name="image1.jpg"/>
          <a:graphic>
            <a:graphicData uri="http://schemas.openxmlformats.org/drawingml/2006/picture">
              <pic:pic>
                <pic:nvPicPr>
                  <pic:cNvPr descr="cid:D03856AD-4870-4F67-9C47-D508705B646D" id="0" name="image1.jpg"/>
                  <pic:cNvPicPr preferRelativeResize="0"/>
                </pic:nvPicPr>
                <pic:blipFill>
                  <a:blip r:embed="rId1"/>
                  <a:srcRect b="0" l="0" r="0" t="0"/>
                  <a:stretch>
                    <a:fillRect/>
                  </a:stretch>
                </pic:blipFill>
                <pic:spPr>
                  <a:xfrm>
                    <a:off x="0" y="0"/>
                    <a:ext cx="1838325" cy="9429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838325" cy="942975"/>
          <wp:effectExtent b="0" l="0" r="0" t="0"/>
          <wp:docPr descr="cid:D03856AD-4870-4F67-9C47-D508705B646D" id="8" name="image1.jpg"/>
          <a:graphic>
            <a:graphicData uri="http://schemas.openxmlformats.org/drawingml/2006/picture">
              <pic:pic>
                <pic:nvPicPr>
                  <pic:cNvPr descr="cid:D03856AD-4870-4F67-9C47-D508705B646D" id="0" name="image1.jpg"/>
                  <pic:cNvPicPr preferRelativeResize="0"/>
                </pic:nvPicPr>
                <pic:blipFill>
                  <a:blip r:embed="rId1"/>
                  <a:srcRect b="0" l="0" r="0" t="0"/>
                  <a:stretch>
                    <a:fillRect/>
                  </a:stretch>
                </pic:blipFill>
                <pic:spPr>
                  <a:xfrm>
                    <a:off x="0" y="0"/>
                    <a:ext cx="1838325" cy="9429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30" w:before="3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120" w:before="120" w:lineRule="auto"/>
    </w:pPr>
    <w:rPr>
      <w:rFonts w:ascii="Calibri" w:cs="Calibri" w:eastAsia="Calibri" w:hAnsi="Calibri"/>
      <w:b w:val="1"/>
      <w:smallCaps w:val="1"/>
      <w:sz w:val="22"/>
      <w:szCs w:val="22"/>
    </w:rPr>
  </w:style>
  <w:style w:type="paragraph" w:styleId="Heading2">
    <w:name w:val="heading 2"/>
    <w:basedOn w:val="Normal"/>
    <w:next w:val="Normal"/>
    <w:pPr>
      <w:keepLines w:val="1"/>
    </w:pPr>
    <w:rPr>
      <w:rFonts w:ascii="Calibri" w:cs="Calibri" w:eastAsia="Calibri" w:hAnsi="Calibri"/>
      <w:b w:val="1"/>
    </w:rPr>
  </w:style>
  <w:style w:type="paragraph" w:styleId="Heading3">
    <w:name w:val="heading 3"/>
    <w:basedOn w:val="Normal"/>
    <w:next w:val="Normal"/>
    <w:pPr>
      <w:keepNext w:val="1"/>
      <w:keepLines w:val="1"/>
      <w:spacing w:after="0" w:before="40" w:lineRule="auto"/>
    </w:pPr>
    <w:rPr>
      <w:rFonts w:ascii="Calibri" w:cs="Calibri" w:eastAsia="Calibri" w:hAnsi="Calibri"/>
      <w:color w:val="243f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120" w:before="120" w:lineRule="auto"/>
    </w:pPr>
    <w:rPr>
      <w:rFonts w:ascii="Calibri" w:cs="Calibri" w:eastAsia="Calibri" w:hAnsi="Calibri"/>
      <w:b w:val="1"/>
      <w:smallCaps w:val="1"/>
      <w:sz w:val="22"/>
      <w:szCs w:val="22"/>
    </w:rPr>
  </w:style>
  <w:style w:type="paragraph" w:styleId="Heading2">
    <w:name w:val="heading 2"/>
    <w:basedOn w:val="Normal"/>
    <w:next w:val="Normal"/>
    <w:pPr>
      <w:keepLines w:val="1"/>
    </w:pPr>
    <w:rPr>
      <w:rFonts w:ascii="Calibri" w:cs="Calibri" w:eastAsia="Calibri" w:hAnsi="Calibri"/>
      <w:b w:val="1"/>
    </w:rPr>
  </w:style>
  <w:style w:type="paragraph" w:styleId="Heading3">
    <w:name w:val="heading 3"/>
    <w:basedOn w:val="Normal"/>
    <w:next w:val="Normal"/>
    <w:pPr>
      <w:keepNext w:val="1"/>
      <w:keepLines w:val="1"/>
      <w:spacing w:after="0" w:before="40" w:lineRule="auto"/>
    </w:pPr>
    <w:rPr>
      <w:rFonts w:ascii="Calibri" w:cs="Calibri" w:eastAsia="Calibri" w:hAnsi="Calibri"/>
      <w:color w:val="243f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1239"/>
  </w:style>
  <w:style w:type="paragraph" w:styleId="Heading1">
    <w:name w:val="heading 1"/>
    <w:basedOn w:val="Normal"/>
    <w:link w:val="Heading1Char"/>
    <w:uiPriority w:val="9"/>
    <w:qFormat w:val="1"/>
    <w:pPr>
      <w:keepLines w:val="1"/>
      <w:spacing w:after="120" w:before="120"/>
      <w:outlineLvl w:val="0"/>
    </w:pPr>
    <w:rPr>
      <w:rFonts w:asciiTheme="majorHAnsi" w:cstheme="majorBidi" w:eastAsiaTheme="majorEastAsia" w:hAnsiTheme="majorHAnsi"/>
      <w:b w:val="1"/>
      <w:smallCaps w:val="1"/>
      <w:sz w:val="22"/>
      <w:szCs w:val="32"/>
    </w:rPr>
  </w:style>
  <w:style w:type="paragraph" w:styleId="Heading2">
    <w:name w:val="heading 2"/>
    <w:basedOn w:val="Normal"/>
    <w:link w:val="Heading2Char"/>
    <w:uiPriority w:val="9"/>
    <w:unhideWhenUsed w:val="1"/>
    <w:qFormat w:val="1"/>
    <w:pPr>
      <w:keepLines w:val="1"/>
      <w:outlineLvl w:val="1"/>
    </w:pPr>
    <w:rPr>
      <w:rFonts w:asciiTheme="majorHAnsi" w:cstheme="majorBidi" w:eastAsiaTheme="majorEastAsia" w:hAnsiTheme="majorHAnsi"/>
      <w:b w:val="1"/>
      <w:szCs w:val="26"/>
    </w:rPr>
  </w:style>
  <w:style w:type="paragraph" w:styleId="Heading3">
    <w:name w:val="heading 3"/>
    <w:basedOn w:val="Normal"/>
    <w:next w:val="Normal"/>
    <w:link w:val="Heading3Char"/>
    <w:uiPriority w:val="9"/>
    <w:semiHidden w:val="1"/>
    <w:unhideWhenUsed w:val="1"/>
    <w:qFormat w:val="1"/>
    <w:pPr>
      <w:keepNext w:val="1"/>
      <w:keepLines w:val="1"/>
      <w:spacing w:after="0" w:before="40"/>
      <w:outlineLvl w:val="2"/>
    </w:pPr>
    <w:rPr>
      <w:rFonts w:asciiTheme="majorHAnsi" w:cstheme="majorBidi" w:eastAsiaTheme="majorEastAsia" w:hAnsiTheme="majorHAnsi"/>
      <w:color w:val="243f60" w:themeColor="accent1" w:themeShade="00007F"/>
      <w:szCs w:val="24"/>
    </w:rPr>
  </w:style>
  <w:style w:type="paragraph" w:styleId="Heading4">
    <w:name w:val="heading 4"/>
    <w:basedOn w:val="Normal"/>
    <w:next w:val="Normal"/>
    <w:link w:val="Heading4Char"/>
    <w:uiPriority w:val="9"/>
    <w:semiHidden w:val="1"/>
    <w:unhideWhenUsed w:val="1"/>
    <w:qFormat w:val="1"/>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Heading8">
    <w:name w:val="heading 8"/>
    <w:basedOn w:val="Normal"/>
    <w:next w:val="Normal"/>
    <w:link w:val="Heading8Char"/>
    <w:uiPriority w:val="9"/>
    <w:semiHidden w:val="1"/>
    <w:unhideWhenUsed w:val="1"/>
    <w:qFormat w:val="1"/>
    <w:pPr>
      <w:keepNext w:val="1"/>
      <w:keepLines w:val="1"/>
      <w:spacing w:after="0" w:before="40"/>
      <w:outlineLvl w:val="7"/>
    </w:pPr>
    <w:rPr>
      <w:rFonts w:asciiTheme="majorHAnsi" w:cstheme="majorBidi" w:eastAsiaTheme="majorEastAsia" w:hAnsiTheme="majorHAnsi"/>
      <w:color w:val="272727" w:themeColor="text1" w:themeTint="0000D8"/>
      <w:sz w:val="18"/>
      <w:szCs w:val="21"/>
    </w:rPr>
  </w:style>
  <w:style w:type="paragraph" w:styleId="Heading9">
    <w:name w:val="heading 9"/>
    <w:basedOn w:val="Normal"/>
    <w:next w:val="Normal"/>
    <w:link w:val="Heading9Char"/>
    <w:uiPriority w:val="9"/>
    <w:semiHidden w:val="1"/>
    <w:unhideWhenUsed w:val="1"/>
    <w:qFormat w:val="1"/>
    <w:pPr>
      <w:keepNext w:val="1"/>
      <w:keepLines w:val="1"/>
      <w:spacing w:after="0" w:before="40"/>
      <w:outlineLvl w:val="8"/>
    </w:pPr>
    <w:rPr>
      <w:rFonts w:asciiTheme="majorHAnsi" w:cstheme="majorBidi" w:eastAsiaTheme="majorEastAsia" w:hAnsiTheme="majorHAnsi"/>
      <w:i w:val="1"/>
      <w:iCs w:val="1"/>
      <w:color w:val="272727" w:themeColor="text1" w:themeTint="0000D8"/>
      <w:sz w:val="1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okTitle">
    <w:name w:val="Book Title"/>
    <w:basedOn w:val="DefaultParagraphFont"/>
    <w:uiPriority w:val="33"/>
    <w:semiHidden w:val="1"/>
    <w:unhideWhenUsed w:val="1"/>
    <w:qFormat w:val="1"/>
    <w:rPr>
      <w:b w:val="1"/>
      <w:bCs w:val="1"/>
      <w:i w:val="1"/>
      <w:iCs w:val="1"/>
      <w:spacing w:val="0"/>
    </w:rPr>
  </w:style>
  <w:style w:type="character" w:styleId="IntenseReference">
    <w:name w:val="Intense Reference"/>
    <w:basedOn w:val="DefaultParagraphFont"/>
    <w:uiPriority w:val="32"/>
    <w:semiHidden w:val="1"/>
    <w:unhideWhenUsed w:val="1"/>
    <w:qFormat w:val="1"/>
    <w:rPr>
      <w:b w:val="1"/>
      <w:bCs w:val="1"/>
      <w:caps w:val="0"/>
      <w:smallCaps w:val="1"/>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after="160" w:before="0"/>
    </w:pPr>
    <w:rPr>
      <w:rFonts w:eastAsiaTheme="minorHAnsi"/>
      <w:lang w:eastAsia="en-US"/>
    </w:rPr>
  </w:style>
  <w:style w:type="character" w:styleId="CommentTextChar" w:customStyle="1">
    <w:name w:val="Comment Text Char"/>
    <w:basedOn w:val="DefaultParagraphFont"/>
    <w:link w:val="CommentText"/>
    <w:uiPriority w:val="99"/>
    <w:semiHidden w:val="1"/>
    <w:rPr>
      <w:rFonts w:eastAsiaTheme="minorHAnsi"/>
      <w:lang w:eastAsia="en-US"/>
    </w:rPr>
  </w:style>
  <w:style w:type="paragraph" w:styleId="NoSpacing">
    <w:name w:val="No Spacing"/>
    <w:uiPriority w:val="1"/>
    <w:semiHidden w:val="1"/>
    <w:unhideWhenUsed w:val="1"/>
    <w:qFormat w:val="1"/>
    <w:pPr>
      <w:spacing w:after="0" w:before="0"/>
    </w:pPr>
  </w:style>
  <w:style w:type="paragraph" w:styleId="Footer">
    <w:name w:val="footer"/>
    <w:basedOn w:val="Normal"/>
    <w:link w:val="FooterChar"/>
    <w:uiPriority w:val="99"/>
    <w:unhideWhenUsed w:val="1"/>
  </w:style>
  <w:style w:type="character" w:styleId="FooterChar" w:customStyle="1">
    <w:name w:val="Footer Char"/>
    <w:basedOn w:val="DefaultParagraphFont"/>
    <w:link w:val="Footer"/>
    <w:uiPriority w:val="99"/>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color w:val="243f60" w:themeColor="accent1" w:themeShade="00007F"/>
      <w:szCs w:val="24"/>
    </w:rPr>
  </w:style>
  <w:style w:type="character" w:styleId="PlaceholderText">
    <w:name w:val="Placeholder Text"/>
    <w:basedOn w:val="DefaultParagraphFont"/>
    <w:uiPriority w:val="99"/>
    <w:semiHidden w:val="1"/>
    <w:rPr>
      <w:color w:val="808080"/>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i w:val="1"/>
      <w:iCs w:val="1"/>
      <w:color w:val="365f91" w:themeColor="accent1" w:themeShade="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272727" w:themeColor="text1" w:themeTint="0000D8"/>
      <w:sz w:val="18"/>
      <w:szCs w:val="2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272727" w:themeColor="text1" w:themeTint="0000D8"/>
      <w:sz w:val="18"/>
      <w:szCs w:val="21"/>
    </w:rPr>
  </w:style>
  <w:style w:type="paragraph" w:styleId="TOCHeading">
    <w:name w:val="TOC Heading"/>
    <w:basedOn w:val="Heading1"/>
    <w:next w:val="Normal"/>
    <w:uiPriority w:val="39"/>
    <w:semiHidden w:val="1"/>
    <w:unhideWhenUsed w:val="1"/>
    <w:qFormat w:val="1"/>
    <w:pPr>
      <w:keepNext w:val="1"/>
      <w:outlineLvl w:val="9"/>
    </w:pPr>
  </w:style>
  <w:style w:type="paragraph" w:styleId="Header">
    <w:name w:val="header"/>
    <w:basedOn w:val="Normal"/>
    <w:link w:val="HeaderChar"/>
    <w:uiPriority w:val="99"/>
    <w:unhideWhenUsed w:val="1"/>
    <w:pPr>
      <w:spacing w:after="240" w:before="0"/>
      <w:jc w:val="right"/>
    </w:pPr>
    <w:rPr>
      <w:b w:val="1"/>
      <w:sz w:val="28"/>
    </w:rPr>
  </w:style>
  <w:style w:type="character" w:styleId="HeaderChar" w:customStyle="1">
    <w:name w:val="Header Char"/>
    <w:basedOn w:val="DefaultParagraphFont"/>
    <w:link w:val="Header"/>
    <w:uiPriority w:val="99"/>
    <w:rPr>
      <w:b w:val="1"/>
      <w:sz w:val="28"/>
    </w:rPr>
  </w:style>
  <w:style w:type="paragraph" w:styleId="BalloonText">
    <w:name w:val="Balloon Text"/>
    <w:basedOn w:val="Normal"/>
    <w:link w:val="BalloonTextChar"/>
    <w:uiPriority w:val="99"/>
    <w:semiHidden w:val="1"/>
    <w:unhideWhenUsed w:val="1"/>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eastAsia="Calibri" w:hAnsi="Segoe UI"/>
      <w:sz w:val="18"/>
      <w:szCs w:val="18"/>
      <w:lang w:eastAsia="en-US"/>
    </w:rPr>
  </w:style>
  <w:style w:type="table" w:styleId="PlainTable4" w:customStyle="1">
    <w:name w:val="Plain Table 4"/>
    <w:basedOn w:val="TableNormal"/>
    <w:uiPriority w:val="44"/>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customStyle="1">
    <w:name w:val="Plain Table 3"/>
    <w:basedOn w:val="TableNormal"/>
    <w:uiPriority w:val="43"/>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Heading1Char" w:customStyle="1">
    <w:name w:val="Heading 1 Char"/>
    <w:basedOn w:val="DefaultParagraphFont"/>
    <w:link w:val="Heading1"/>
    <w:uiPriority w:val="9"/>
    <w:rsid w:val="00761239"/>
    <w:rPr>
      <w:rFonts w:asciiTheme="majorHAnsi" w:cstheme="majorBidi" w:eastAsiaTheme="majorEastAsia" w:hAnsiTheme="majorHAnsi"/>
      <w:b w:val="1"/>
      <w:smallCaps w:val="1"/>
      <w:sz w:val="2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b w:val="1"/>
      <w:szCs w:val="26"/>
    </w:rPr>
  </w:style>
  <w:style w:type="table" w:styleId="PlainTable1" w:customStyle="1">
    <w:name w:val="Plain Table 1"/>
    <w:basedOn w:val="TableNormal"/>
    <w:uiPriority w:val="41"/>
    <w:rsid w:val="008A6F05"/>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BodyText">
    <w:name w:val="Body Text"/>
    <w:basedOn w:val="Normal"/>
    <w:link w:val="BodyTextChar"/>
    <w:uiPriority w:val="1"/>
    <w:qFormat w:val="1"/>
    <w:rsid w:val="00070F98"/>
    <w:pPr>
      <w:widowControl w:val="0"/>
      <w:autoSpaceDE w:val="0"/>
      <w:autoSpaceDN w:val="0"/>
      <w:adjustRightInd w:val="0"/>
      <w:spacing w:after="0" w:before="0"/>
    </w:pPr>
    <w:rPr>
      <w:rFonts w:ascii="Arial" w:cs="Arial" w:hAnsi="Arial"/>
      <w:sz w:val="18"/>
      <w:szCs w:val="18"/>
      <w:lang w:eastAsia="en-US"/>
    </w:rPr>
  </w:style>
  <w:style w:type="character" w:styleId="BodyTextChar" w:customStyle="1">
    <w:name w:val="Body Text Char"/>
    <w:basedOn w:val="DefaultParagraphFont"/>
    <w:link w:val="BodyText"/>
    <w:uiPriority w:val="99"/>
    <w:rsid w:val="00070F98"/>
    <w:rPr>
      <w:rFonts w:ascii="Arial" w:cs="Arial" w:hAnsi="Arial"/>
      <w:sz w:val="18"/>
      <w:szCs w:val="18"/>
      <w:lang w:eastAsia="en-US"/>
    </w:rPr>
  </w:style>
  <w:style w:type="paragraph" w:styleId="ListParagraph">
    <w:name w:val="List Paragraph"/>
    <w:basedOn w:val="Normal"/>
    <w:uiPriority w:val="1"/>
    <w:qFormat w:val="1"/>
    <w:rsid w:val="006D7DFE"/>
    <w:pPr>
      <w:widowControl w:val="0"/>
      <w:autoSpaceDE w:val="0"/>
      <w:autoSpaceDN w:val="0"/>
      <w:adjustRightInd w:val="0"/>
      <w:spacing w:after="0" w:before="0"/>
      <w:ind w:left="700" w:right="256" w:hanging="240"/>
      <w:jc w:val="both"/>
    </w:pPr>
    <w:rPr>
      <w:rFonts w:ascii="Arial" w:cs="Arial" w:hAnsi="Arial"/>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pPr>
      <w:spacing w:after="0" w:lineRule="auto"/>
    </w:pPr>
    <w:tblPr>
      <w:tblStyleRowBandSize w:val="1"/>
      <w:tblStyleColBandSize w:val="1"/>
      <w:tblCellMar>
        <w:top w:w="29.0" w:type="dxa"/>
        <w:left w:w="115.0" w:type="dxa"/>
        <w:bottom w:w="29.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tblPr>
      <w:tblStyleRowBandSize w:val="1"/>
      <w:tblStyleColBandSize w:val="1"/>
      <w:tblCellMar>
        <w:top w:w="29.0" w:type="dxa"/>
        <w:left w:w="115.0" w:type="dxa"/>
        <w:bottom w:w="29.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 w:type="table" w:styleId="Table2">
    <w:basedOn w:val="TableNormal"/>
    <w:pPr>
      <w:spacing w:after="0" w:lineRule="auto"/>
    </w:pPr>
    <w:tblPr>
      <w:tblStyleRowBandSize w:val="1"/>
      <w:tblStyleColBandSize w:val="1"/>
      <w:tblCellMar>
        <w:top w:w="29.0" w:type="dxa"/>
        <w:left w:w="115.0" w:type="dxa"/>
        <w:bottom w:w="29.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17/QyVgPKizu9g3wPJGxCKo6w==">AMUW2mX0vsBJdWzAV7xTsFKMRxxOk/63zaZPCyS5pwXDDyl8jgykPXSBZWGHzpQwKgcy1sZwKilgUslILVlfkq8hcTn8Z5iQORRnssEgtSww1N9SLB6OljY2uUgBkwrF7gO4CiGFwXeO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2017-06-07T20:41:00Z</dcterms:created>
  <dc:creator>Tommy Glasscock</dc:creator>
</cp:coreProperties>
</file>