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Fonts w:ascii="PermianSlabSerifTypeface" w:cs="PermianSlabSerifTypeface" w:eastAsia="PermianSlabSerifTypeface" w:hAnsi="PermianSlabSerifTypeface"/>
          <w:b w:val="1"/>
          <w:sz w:val="32"/>
          <w:szCs w:val="32"/>
          <w:rtl w:val="0"/>
        </w:rPr>
        <w:t xml:space="preserve">Plan Público del ESSER 3.0: </w:t>
        <w:br w:type="textWrapping"/>
        <w:t xml:space="preserve">Apéndice del Desembolso de asistencia federal</w:t>
        <w:br w:type="textWrapping"/>
      </w:r>
      <w:r w:rsidDel="00000000" w:rsidR="00000000" w:rsidRPr="00000000">
        <w:rPr>
          <w:b w:val="0"/>
          <w:rtl w:val="0"/>
        </w:rPr>
        <w:t xml:space="preserve">Guía del apéndice</w:t>
      </w:r>
      <w:r w:rsidDel="00000000" w:rsidR="00000000" w:rsidRPr="00000000">
        <w:rPr>
          <w:rtl w:val="0"/>
        </w:rPr>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t xml:space="preserve">Las agencias locales de educación (LEAs, por sus siglas en inglés) están obligadas a actualizar el Plan Público del ESSER 3.0 cada seis meses hasta el 30 de septiembre de 2023.</w:t>
      </w:r>
      <w:r w:rsidDel="00000000" w:rsidR="00000000" w:rsidRPr="00000000">
        <w:rPr>
          <w:b w:val="1"/>
          <w:rtl w:val="0"/>
        </w:rPr>
        <w:t xml:space="preserve"> </w:t>
      </w:r>
      <w:r w:rsidDel="00000000" w:rsidR="00000000" w:rsidRPr="00000000">
        <w:rPr>
          <w:rtl w:val="0"/>
        </w:rPr>
        <w:t xml:space="preserve">Las LEAs</w:t>
      </w:r>
      <w:r w:rsidDel="00000000" w:rsidR="00000000" w:rsidRPr="00000000">
        <w:rPr>
          <w:b w:val="1"/>
          <w:rtl w:val="0"/>
        </w:rPr>
        <w:t xml:space="preserve"> </w:t>
      </w:r>
      <w:r w:rsidDel="00000000" w:rsidR="00000000" w:rsidRPr="00000000">
        <w:rPr>
          <w:rtl w:val="0"/>
        </w:rPr>
        <w:t xml:space="preserve">deben pedir los aportes del público respecto al plan y sus actualizaciones y deben tener en cuenta dichos aportes cada vez. </w:t>
      </w:r>
    </w:p>
    <w:p w:rsidR="00000000" w:rsidDel="00000000" w:rsidP="00000000" w:rsidRDefault="00000000" w:rsidRPr="00000000" w14:paraId="00000003">
      <w:pPr>
        <w:rPr/>
      </w:pPr>
      <w:r w:rsidDel="00000000" w:rsidR="00000000" w:rsidRPr="00000000">
        <w:rPr>
          <w:rtl w:val="0"/>
        </w:rPr>
        <w:t xml:space="preserve">Cada LEA debe completar el apéndice y cargarlo en el ePlan de la Biblioteca de documentos de la LEA (1 de febrero y 27 de agosto). La LEA también debe publicar el apéndice en el sitio web de la LEA. Al igual que con la elaboración del plan, todas las actualizaciones deben ser informadas por los aportes de la comunidad y revisadas y aprobadas por el órgano rector antes de su publicación en el sitio web público de la LEA. El propósito del plan es proporcionar transparencia a las partes interesadas.</w:t>
      </w:r>
    </w:p>
    <w:p w:rsidR="00000000" w:rsidDel="00000000" w:rsidP="00000000" w:rsidRDefault="00000000" w:rsidRPr="00000000" w14:paraId="00000004">
      <w:pPr>
        <w:rPr/>
      </w:pPr>
      <w:r w:rsidDel="00000000" w:rsidR="00000000" w:rsidRPr="00000000">
        <w:rPr>
          <w:rtl w:val="0"/>
        </w:rPr>
        <w:t xml:space="preserve">Tenga en cuenta lo siguiente al completar el apéndice:</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En la página de resumen, deben totalizarse las sumas para cada fondo de asistencia: ESSER 1.0, ESSER 2.0, y ESSER 3.0. y ser igual a las sumas asignadas.</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La LEA debe responder a todas las preguntas del documento.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Las respuestas obtenidas de la participación de las partes interesadas deben estar  estrechamente alineadas con la participación de las partes interesadas en el Plan de salud y seguridad.</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La LEA debe asegurarse de que usaron y ofrecieron múltiples modelos de participación de las partes interesadas. Los ejemplos pueden incluir encuestas, reuniones virtuales o presenciales de los comités, foros u otras oportunidades de participación inclusiva.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Las LEAs deben procurar la participación de todos los grupos indicados pertinentes y consultarlos considerablemente durante la elaboración del plan.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Se debe asegurar de que la participación de las partes interesadas ocurrió antes de la elaboración/revisión del plan.</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Es necesario que los planes reciban aprobación de la junta local y se publiquen públicamente.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Las LEAs deben actualizar el Plan Público del ESSER por lo menos cada seis meses hasta el 30 de septiembre de 2023, obtener aportes del público respecto al plan y sus actualizaciones y tener en cuenta dichos aportes.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La Ley del Plan de Rescate Estadounidense (ARP, por sus siglas en inglés) exige que las LEAs publiquen planes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rsidR="00000000" w:rsidDel="00000000" w:rsidP="00000000" w:rsidRDefault="00000000" w:rsidRPr="00000000" w14:paraId="0000000F">
      <w:pPr>
        <w:spacing w:after="160" w:lineRule="auto"/>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10">
      <w:pPr>
        <w:jc w:val="center"/>
        <w:rPr/>
      </w:pPr>
      <w:r w:rsidDel="00000000" w:rsidR="00000000" w:rsidRPr="00000000">
        <w:rPr>
          <w:rFonts w:ascii="PermianSlabSerifTypeface" w:cs="PermianSlabSerifTypeface" w:eastAsia="PermianSlabSerifTypeface" w:hAnsi="PermianSlabSerifTypeface"/>
          <w:b w:val="1"/>
          <w:sz w:val="32"/>
          <w:szCs w:val="32"/>
          <w:rtl w:val="0"/>
        </w:rPr>
        <w:t xml:space="preserve">Plan Público</w:t>
      </w:r>
      <w:r w:rsidDel="00000000" w:rsidR="00000000" w:rsidRPr="00000000">
        <w:rPr>
          <w:rFonts w:ascii="PermianSlabSerifTypeface" w:cs="PermianSlabSerifTypeface" w:eastAsia="PermianSlabSerifTypeface" w:hAnsi="PermianSlabSerifTypeface"/>
          <w:b w:val="0"/>
          <w:sz w:val="32"/>
          <w:szCs w:val="32"/>
          <w:rtl w:val="0"/>
        </w:rPr>
        <w:t xml:space="preserve"> </w:t>
      </w:r>
      <w:r w:rsidDel="00000000" w:rsidR="00000000" w:rsidRPr="00000000">
        <w:rPr>
          <w:rFonts w:ascii="PermianSlabSerifTypeface" w:cs="PermianSlabSerifTypeface" w:eastAsia="PermianSlabSerifTypeface" w:hAnsi="PermianSlabSerifTypeface"/>
          <w:b w:val="1"/>
          <w:sz w:val="32"/>
          <w:szCs w:val="32"/>
          <w:rtl w:val="0"/>
        </w:rPr>
        <w:t xml:space="preserve">del ESSER 3</w:t>
      </w:r>
      <w:r w:rsidDel="00000000" w:rsidR="00000000" w:rsidRPr="00000000">
        <w:rPr>
          <w:rFonts w:ascii="PermianSlabSerifTypeface" w:cs="PermianSlabSerifTypeface" w:eastAsia="PermianSlabSerifTypeface" w:hAnsi="PermianSlabSerifTypeface"/>
          <w:b w:val="0"/>
          <w:sz w:val="32"/>
          <w:szCs w:val="32"/>
          <w:rtl w:val="0"/>
        </w:rPr>
        <w:t xml:space="preserve">.</w:t>
      </w:r>
      <w:r w:rsidDel="00000000" w:rsidR="00000000" w:rsidRPr="00000000">
        <w:rPr>
          <w:rFonts w:ascii="PermianSlabSerifTypeface" w:cs="PermianSlabSerifTypeface" w:eastAsia="PermianSlabSerifTypeface" w:hAnsi="PermianSlabSerifTypeface"/>
          <w:b w:val="1"/>
          <w:sz w:val="32"/>
          <w:szCs w:val="32"/>
          <w:rtl w:val="0"/>
        </w:rPr>
        <w:t xml:space="preserve">0: </w:t>
      </w:r>
      <w:r w:rsidDel="00000000" w:rsidR="00000000" w:rsidRPr="00000000">
        <w:rPr>
          <w:rFonts w:ascii="PermianSlabSerifTypeface" w:cs="PermianSlabSerifTypeface" w:eastAsia="PermianSlabSerifTypeface" w:hAnsi="PermianSlabSerifTypeface"/>
          <w:b w:val="0"/>
          <w:sz w:val="32"/>
          <w:szCs w:val="32"/>
          <w:rtl w:val="0"/>
        </w:rPr>
        <w:br w:type="textWrapping"/>
      </w:r>
      <w:r w:rsidDel="00000000" w:rsidR="00000000" w:rsidRPr="00000000">
        <w:rPr>
          <w:rFonts w:ascii="PermianSlabSerifTypeface" w:cs="PermianSlabSerifTypeface" w:eastAsia="PermianSlabSerifTypeface" w:hAnsi="PermianSlabSerifTypeface"/>
          <w:b w:val="1"/>
          <w:sz w:val="32"/>
          <w:szCs w:val="32"/>
          <w:rtl w:val="0"/>
        </w:rPr>
        <w:t xml:space="preserve">Apéndice del Desembolso de asistencia federal</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w:t>
      </w:r>
    </w:p>
    <w:p w:rsidR="00000000" w:rsidDel="00000000" w:rsidP="00000000" w:rsidRDefault="00000000" w:rsidRPr="00000000" w14:paraId="00000012">
      <w:pPr>
        <w:rPr/>
      </w:pPr>
      <w:r w:rsidDel="00000000" w:rsidR="00000000" w:rsidRPr="00000000">
        <w:rPr>
          <w:rtl w:val="0"/>
        </w:rPr>
        <w:t xml:space="preserve">En el otoño de 2021, las LEAs elaboraron e hicieron público un Plan Público: Desembolso de asistencia federal Todos los planes fueron elaborados en consulta considerable del público con grupos de partes interesadas. Al igual que con la elaboración del plan, todas las modificaciones deben ser informadas por los aportes de la comunidad y revisadas y aprobadas por el órgano rector antes de su publicación en el sitio web público de la LEA.</w:t>
      </w:r>
    </w:p>
    <w:p w:rsidR="00000000" w:rsidDel="00000000" w:rsidP="00000000" w:rsidRDefault="00000000" w:rsidRPr="00000000" w14:paraId="00000013">
      <w:pPr>
        <w:rPr/>
      </w:pPr>
      <w:r w:rsidDel="00000000" w:rsidR="00000000" w:rsidRPr="00000000">
        <w:rPr>
          <w:rtl w:val="0"/>
        </w:rPr>
        <w:t xml:space="preserve">La siguiente información tiene por objeto actualizar a las partes interesadas y cumplir con este requisito.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rPr/>
      </w:pPr>
      <w:r w:rsidDel="00000000" w:rsidR="00000000" w:rsidRPr="00000000">
        <w:rPr>
          <w:rtl w:val="0"/>
        </w:rPr>
        <w:t xml:space="preserve">Información general </w:t>
      </w:r>
    </w:p>
    <w:p w:rsidR="00000000" w:rsidDel="00000000" w:rsidP="00000000" w:rsidRDefault="00000000" w:rsidRPr="00000000" w14:paraId="00000016">
      <w:pPr>
        <w:tabs>
          <w:tab w:val="right" w:pos="10080"/>
        </w:tabs>
        <w:rPr/>
      </w:pPr>
      <w:r w:rsidDel="00000000" w:rsidR="00000000" w:rsidRPr="00000000">
        <w:rPr>
          <w:rtl w:val="0"/>
        </w:rPr>
        <w:t xml:space="preserve">Nombre de la LEA: Escuelas del condado de Grundy</w:t>
      </w:r>
      <w:r w:rsidDel="00000000" w:rsidR="00000000" w:rsidRPr="00000000">
        <w:rPr>
          <w:rtl w:val="0"/>
        </w:rPr>
      </w:r>
    </w:p>
    <w:p w:rsidR="00000000" w:rsidDel="00000000" w:rsidP="00000000" w:rsidRDefault="00000000" w:rsidRPr="00000000" w14:paraId="00000017">
      <w:pPr>
        <w:tabs>
          <w:tab w:val="right" w:pos="10080"/>
        </w:tabs>
        <w:rPr>
          <w:u w:val="single"/>
        </w:rPr>
      </w:pPr>
      <w:r w:rsidDel="00000000" w:rsidR="00000000" w:rsidRPr="00000000">
        <w:rPr>
          <w:rtl w:val="0"/>
        </w:rPr>
        <w:t xml:space="preserve">Director de escuelas (Nombre): Dr. Clint Durley</w:t>
      </w:r>
      <w:r w:rsidDel="00000000" w:rsidR="00000000" w:rsidRPr="00000000">
        <w:rPr>
          <w:rtl w:val="0"/>
        </w:rPr>
      </w:r>
    </w:p>
    <w:p w:rsidR="00000000" w:rsidDel="00000000" w:rsidP="00000000" w:rsidRDefault="00000000" w:rsidRPr="00000000" w14:paraId="00000018">
      <w:pPr>
        <w:tabs>
          <w:tab w:val="right" w:pos="10080"/>
        </w:tabs>
        <w:rPr/>
      </w:pPr>
      <w:r w:rsidDel="00000000" w:rsidR="00000000" w:rsidRPr="00000000">
        <w:rPr>
          <w:rtl w:val="0"/>
        </w:rPr>
        <w:t xml:space="preserve">Director del ESSER (Nombre): Dr. Jennifer Webb</w:t>
      </w:r>
    </w:p>
    <w:p w:rsidR="00000000" w:rsidDel="00000000" w:rsidP="00000000" w:rsidRDefault="00000000" w:rsidRPr="00000000" w14:paraId="00000019">
      <w:pPr>
        <w:tabs>
          <w:tab w:val="right" w:pos="10080"/>
        </w:tabs>
        <w:rPr/>
      </w:pPr>
      <w:r w:rsidDel="00000000" w:rsidR="00000000" w:rsidRPr="00000000">
        <w:rPr>
          <w:rtl w:val="0"/>
        </w:rPr>
        <w:t xml:space="preserve">Dirección:1376 Main Street, Altamont, TN</w:t>
      </w:r>
    </w:p>
    <w:p w:rsidR="00000000" w:rsidDel="00000000" w:rsidP="00000000" w:rsidRDefault="00000000" w:rsidRPr="00000000" w14:paraId="0000001A">
      <w:pPr>
        <w:tabs>
          <w:tab w:val="right" w:pos="5760"/>
          <w:tab w:val="right" w:pos="10080"/>
        </w:tabs>
        <w:ind w:left="0" w:firstLine="0"/>
        <w:rPr/>
      </w:pPr>
      <w:r w:rsidDel="00000000" w:rsidR="00000000" w:rsidRPr="00000000">
        <w:rPr>
          <w:rtl w:val="0"/>
        </w:rPr>
        <w:t xml:space="preserve">Teléfono: (931) 692-3467</w:t>
        <w:tab/>
        <w:t xml:space="preserve">                                               Sitio web del distrito:</w:t>
      </w:r>
      <w:r w:rsidDel="00000000" w:rsidR="00000000" w:rsidRPr="00000000">
        <w:rPr>
          <w:u w:val="single"/>
          <w:rtl w:val="0"/>
        </w:rPr>
        <w:t xml:space="preserve"> </w:t>
      </w:r>
      <w:r w:rsidDel="00000000" w:rsidR="00000000" w:rsidRPr="00000000">
        <w:rPr>
          <w:rtl w:val="0"/>
        </w:rPr>
        <w:t xml:space="preserve">https://www.grundycoschools.com/</w:t>
      </w:r>
    </w:p>
    <w:p w:rsidR="00000000" w:rsidDel="00000000" w:rsidP="00000000" w:rsidRDefault="00000000" w:rsidRPr="00000000" w14:paraId="0000001B">
      <w:pPr>
        <w:tabs>
          <w:tab w:val="right" w:pos="10080"/>
        </w:tabs>
        <w:rPr/>
      </w:pPr>
      <w:r w:rsidDel="00000000" w:rsidR="00000000" w:rsidRPr="00000000">
        <w:rPr>
          <w:rtl w:val="0"/>
        </w:rPr>
        <w:t xml:space="preserve">Fecha del apéndice: 1 de febrero de 2022</w:t>
      </w:r>
    </w:p>
    <w:p w:rsidR="00000000" w:rsidDel="00000000" w:rsidP="00000000" w:rsidRDefault="00000000" w:rsidRPr="00000000" w14:paraId="0000001C">
      <w:pPr>
        <w:rPr/>
      </w:pPr>
      <w:r w:rsidDel="00000000" w:rsidR="00000000" w:rsidRPr="00000000">
        <w:rPr>
          <w:rtl w:val="0"/>
        </w:rPr>
      </w:r>
    </w:p>
    <w:tbl>
      <w:tblPr>
        <w:tblStyle w:val="Table1"/>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6385"/>
        <w:tblGridChange w:id="0">
          <w:tblGrid>
            <w:gridCol w:w="3685"/>
            <w:gridCol w:w="6385"/>
          </w:tblGrid>
        </w:tblGridChange>
      </w:tblGrid>
      <w:tr>
        <w:trPr>
          <w:cantSplit w:val="0"/>
          <w:trHeight w:val="432" w:hRule="atLeast"/>
          <w:tblHeader w:val="0"/>
        </w:trPr>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Total de matrícula estudiantil:</w:t>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1820</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Grados atendidos:</w:t>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Pre-kínder - 12.° grado</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Número de escuelas:</w:t>
            </w:r>
          </w:p>
        </w:tc>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6</w:t>
            </w: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rPr/>
      </w:pPr>
      <w:r w:rsidDel="00000000" w:rsidR="00000000" w:rsidRPr="00000000">
        <w:rPr>
          <w:rtl w:val="0"/>
        </w:rPr>
        <w:t xml:space="preserve">Fondos</w:t>
      </w:r>
    </w:p>
    <w:tbl>
      <w:tblPr>
        <w:tblStyle w:val="Table2"/>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5"/>
        <w:gridCol w:w="7105"/>
        <w:tblGridChange w:id="0">
          <w:tblGrid>
            <w:gridCol w:w="2965"/>
            <w:gridCol w:w="7105"/>
          </w:tblGrid>
        </w:tblGridChange>
      </w:tblGrid>
      <w:tr>
        <w:trPr>
          <w:cantSplit w:val="0"/>
          <w:trHeight w:val="432" w:hRule="atLeast"/>
          <w:tblHeader w:val="0"/>
        </w:trPr>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Asignación del ESSER 1.0:</w:t>
            </w:r>
          </w:p>
        </w:tc>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$654,905.68</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Asignación del ESSER 2.0:</w:t>
            </w:r>
          </w:p>
        </w:tc>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$2,363,317.77</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Asignación del ESSER 3.0:</w:t>
            </w:r>
          </w:p>
        </w:tc>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$5,307,676.01</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Asignación total:</w:t>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$8,359,571.77</w:t>
            </w:r>
            <w:r w:rsidDel="00000000" w:rsidR="00000000" w:rsidRPr="00000000">
              <w:rPr>
                <w:rtl w:val="0"/>
              </w:rPr>
            </w:r>
          </w:p>
        </w:tc>
      </w:tr>
    </w:tbl>
    <w:p w:rsidR="00000000" w:rsidDel="00000000" w:rsidP="00000000" w:rsidRDefault="00000000" w:rsidRPr="00000000" w14:paraId="0000002D">
      <w:pPr>
        <w:spacing w:after="160" w:lineRule="auto"/>
        <w:rPr>
          <w:b w:val="1"/>
          <w:i w:val="1"/>
          <w:highlight w:val="yellow"/>
        </w:rPr>
      </w:pPr>
      <w:r w:rsidDel="00000000" w:rsidR="00000000" w:rsidRPr="00000000">
        <w:br w:type="page"/>
      </w:r>
      <w:r w:rsidDel="00000000" w:rsidR="00000000" w:rsidRPr="00000000">
        <w:rPr>
          <w:b w:val="1"/>
          <w:i w:val="1"/>
          <w:rtl w:val="0"/>
        </w:rPr>
        <w:t xml:space="preserve">Resumen del presupuesto</w:t>
      </w:r>
      <w:r w:rsidDel="00000000" w:rsidR="00000000" w:rsidRPr="00000000">
        <w:rPr>
          <w:rtl w:val="0"/>
        </w:rPr>
      </w:r>
    </w:p>
    <w:tbl>
      <w:tblPr>
        <w:tblStyle w:val="Table3"/>
        <w:tblW w:w="1006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05"/>
        <w:gridCol w:w="3690"/>
        <w:gridCol w:w="1558"/>
        <w:gridCol w:w="1558"/>
        <w:gridCol w:w="1559"/>
        <w:tblGridChange w:id="0">
          <w:tblGrid>
            <w:gridCol w:w="1705"/>
            <w:gridCol w:w="3690"/>
            <w:gridCol w:w="1558"/>
            <w:gridCol w:w="1558"/>
            <w:gridCol w:w="1559"/>
          </w:tblGrid>
        </w:tblGridChange>
      </w:tblGrid>
      <w:tr>
        <w:trPr>
          <w:cantSplit w:val="0"/>
          <w:trHeight w:val="360" w:hRule="atLeast"/>
          <w:tblHeader w:val="0"/>
        </w:trPr>
        <w:tc>
          <w:tcPr>
            <w:shd w:fill="002d72"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ESSER 1.0</w:t>
            </w:r>
          </w:p>
        </w:tc>
        <w:tc>
          <w:tcPr>
            <w:shd w:fill="002d72"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ESSER 2.0</w:t>
            </w:r>
          </w:p>
        </w:tc>
        <w:tc>
          <w:tcPr>
            <w:shd w:fill="002d72"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ESSER 3.0</w:t>
            </w:r>
          </w:p>
        </w:tc>
      </w:tr>
      <w:tr>
        <w:trPr>
          <w:cantSplit w:val="0"/>
          <w:trHeight w:val="360" w:hRule="atLeast"/>
          <w:tblHeader w:val="0"/>
        </w:trPr>
        <w:tc>
          <w:tcPr>
            <w:vMerge w:val="restart"/>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Estudios</w:t>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Tutoría</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$525,000.00</w:t>
            </w: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Programación de verano</w:t>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$535,116.35</w:t>
            </w: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Lectura de la primera infancia</w:t>
            </w:r>
          </w:p>
        </w:tc>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Intervencionistas</w:t>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Otro</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$68,507.50</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$345,619.34</w:t>
            </w:r>
            <w:r w:rsidDel="00000000" w:rsidR="00000000" w:rsidRPr="00000000">
              <w:rPr>
                <w:rtl w:val="0"/>
              </w:rPr>
            </w:r>
          </w:p>
        </w:tc>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$786,425.00</w:t>
            </w: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Subtotal</w:t>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$68,507.50</w:t>
            </w:r>
            <w:r w:rsidDel="00000000" w:rsidR="00000000" w:rsidRPr="00000000">
              <w:rPr>
                <w:rtl w:val="0"/>
              </w:rPr>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$345,619.34</w:t>
            </w:r>
            <w:r w:rsidDel="00000000" w:rsidR="00000000" w:rsidRPr="00000000">
              <w:rPr>
                <w:rtl w:val="0"/>
              </w:rPr>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$1,846,541.35</w:t>
            </w:r>
            <w:r w:rsidDel="00000000" w:rsidR="00000000" w:rsidRPr="00000000">
              <w:rPr>
                <w:rtl w:val="0"/>
              </w:rPr>
            </w:r>
          </w:p>
        </w:tc>
      </w:tr>
      <w:tr>
        <w:trPr>
          <w:cantSplit w:val="0"/>
          <w:trHeight w:val="360" w:hRule="atLeast"/>
          <w:tblHeader w:val="0"/>
        </w:trPr>
        <w:tc>
          <w:tcPr>
            <w:shd w:fill="002d72"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restart"/>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Preparación de estudiantes</w:t>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Cursos avanzados (AP) y cursos de doble crédito/inscripción</w:t>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Innovación en escuelas secundarias</w:t>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$2568.46</w:t>
            </w:r>
            <w:r w:rsidDel="00000000" w:rsidR="00000000" w:rsidRPr="00000000">
              <w:rPr>
                <w:rtl w:val="0"/>
              </w:rPr>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Asesoría académica</w:t>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$6276.00</w:t>
            </w:r>
            <w:r w:rsidDel="00000000" w:rsidR="00000000" w:rsidRPr="00000000">
              <w:rPr>
                <w:rtl w:val="0"/>
              </w:rPr>
            </w:r>
          </w:p>
        </w:tc>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Poblaciones especiales</w:t>
            </w:r>
          </w:p>
        </w:tc>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Salud mental</w:t>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$18082.00</w:t>
            </w:r>
            <w:r w:rsidDel="00000000" w:rsidR="00000000" w:rsidRPr="00000000">
              <w:rPr>
                <w:rtl w:val="0"/>
              </w:rPr>
            </w:r>
          </w:p>
        </w:tc>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$407,787.62</w:t>
            </w: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Otro</w:t>
            </w:r>
          </w:p>
        </w:tc>
        <w:tc>
          <w:tcP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Subtotal</w:t>
            </w:r>
          </w:p>
        </w:tc>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$26926.46</w:t>
            </w:r>
            <w:r w:rsidDel="00000000" w:rsidR="00000000" w:rsidRPr="00000000">
              <w:rPr>
                <w:rtl w:val="0"/>
              </w:rPr>
            </w:r>
          </w:p>
        </w:tc>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$407,787.62</w:t>
            </w:r>
            <w:r w:rsidDel="00000000" w:rsidR="00000000" w:rsidRPr="00000000">
              <w:rPr>
                <w:rtl w:val="0"/>
              </w:rPr>
            </w:r>
          </w:p>
        </w:tc>
      </w:tr>
      <w:tr>
        <w:trPr>
          <w:cantSplit w:val="0"/>
          <w:trHeight w:val="360" w:hRule="atLeast"/>
          <w:tblHeader w:val="0"/>
        </w:trPr>
        <w:tc>
          <w:tcPr>
            <w:shd w:fill="002d72" w:val="cle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restart"/>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Educadores</w:t>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Retención estratégica de profesores</w:t>
            </w:r>
          </w:p>
        </w:tc>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$385,419.96</w:t>
            </w:r>
            <w:r w:rsidDel="00000000" w:rsidR="00000000" w:rsidRPr="00000000">
              <w:rPr>
                <w:rtl w:val="0"/>
              </w:rPr>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Grow Your Own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(Desarrollar los suyos)</w:t>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Reducción del tamaño de las clases</w:t>
            </w:r>
          </w:p>
        </w:tc>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Otro</w:t>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Subtotal</w:t>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$385,419.96</w:t>
            </w:r>
            <w:r w:rsidDel="00000000" w:rsidR="00000000" w:rsidRPr="00000000">
              <w:rPr>
                <w:rtl w:val="0"/>
              </w:rPr>
            </w:r>
          </w:p>
        </w:tc>
        <w:tc>
          <w:tcP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shd w:fill="002d72"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restart"/>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Aspectos fundamentales</w:t>
            </w:r>
          </w:p>
        </w:tc>
        <w:tc>
          <w:tcP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Tecnología</w:t>
            </w:r>
          </w:p>
        </w:tc>
        <w:tc>
          <w:tcP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$307,867.51</w:t>
            </w:r>
            <w:r w:rsidDel="00000000" w:rsidR="00000000" w:rsidRPr="00000000">
              <w:rPr>
                <w:rtl w:val="0"/>
              </w:rPr>
            </w:r>
          </w:p>
        </w:tc>
        <w:tc>
          <w:tcP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$101,145.37</w:t>
            </w:r>
            <w:r w:rsidDel="00000000" w:rsidR="00000000" w:rsidRPr="00000000">
              <w:rPr>
                <w:rtl w:val="0"/>
              </w:rPr>
            </w:r>
          </w:p>
        </w:tc>
        <w:tc>
          <w:tcP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$85,980.00</w:t>
            </w: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Internet de alta velocidad</w:t>
            </w:r>
          </w:p>
        </w:tc>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$59,014.25</w:t>
            </w:r>
            <w:r w:rsidDel="00000000" w:rsidR="00000000" w:rsidRPr="00000000">
              <w:rPr>
                <w:rtl w:val="0"/>
              </w:rPr>
            </w:r>
          </w:p>
        </w:tc>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Local académico (instalaciones)</w:t>
            </w:r>
          </w:p>
        </w:tc>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$1,471,166.10</w:t>
            </w:r>
            <w:r w:rsidDel="00000000" w:rsidR="00000000" w:rsidRPr="00000000">
              <w:rPr>
                <w:rtl w:val="0"/>
              </w:rPr>
            </w:r>
          </w:p>
        </w:tc>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$2,817,463.59</w:t>
            </w: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Auditoría y presentación de informes</w:t>
            </w:r>
          </w:p>
        </w:tc>
        <w:tc>
          <w:tcP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$99,903.45</w:t>
            </w: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Otro</w:t>
            </w:r>
          </w:p>
        </w:tc>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$200,157.27</w:t>
            </w:r>
            <w:r w:rsidDel="00000000" w:rsidR="00000000" w:rsidRPr="00000000">
              <w:rPr>
                <w:rtl w:val="0"/>
              </w:rPr>
            </w:r>
          </w:p>
        </w:tc>
        <w:tc>
          <w:tcP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$60,000.00</w:t>
            </w:r>
            <w:r w:rsidDel="00000000" w:rsidR="00000000" w:rsidRPr="00000000">
              <w:rPr>
                <w:rtl w:val="0"/>
              </w:rPr>
            </w:r>
          </w:p>
        </w:tc>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Subtotal</w:t>
            </w:r>
          </w:p>
        </w:tc>
        <w:tc>
          <w:tcP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$559,471.72</w:t>
            </w:r>
            <w:r w:rsidDel="00000000" w:rsidR="00000000" w:rsidRPr="00000000">
              <w:rPr>
                <w:rtl w:val="0"/>
              </w:rPr>
            </w:r>
          </w:p>
        </w:tc>
        <w:tc>
          <w:tcP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$1,632,278.47</w:t>
            </w:r>
            <w:r w:rsidDel="00000000" w:rsidR="00000000" w:rsidRPr="00000000">
              <w:rPr>
                <w:rtl w:val="0"/>
              </w:rPr>
            </w:r>
          </w:p>
        </w:tc>
        <w:tc>
          <w:tcPr>
            <w:vAlign w:val="center"/>
          </w:tcPr>
          <w:p w:rsidR="00000000" w:rsidDel="00000000" w:rsidP="00000000" w:rsidRDefault="00000000" w:rsidRPr="00000000" w14:paraId="000000BA">
            <w:pPr>
              <w:spacing w:line="259" w:lineRule="auto"/>
              <w:jc w:val="right"/>
              <w:rPr/>
            </w:pPr>
            <w:r w:rsidDel="00000000" w:rsidR="00000000" w:rsidRPr="00000000">
              <w:rPr>
                <w:rtl w:val="0"/>
              </w:rPr>
              <w:t xml:space="preserve">$3,053,347.04</w:t>
            </w:r>
          </w:p>
        </w:tc>
      </w:tr>
      <w:tr>
        <w:trPr>
          <w:cantSplit w:val="0"/>
          <w:trHeight w:val="360" w:hRule="atLeast"/>
          <w:tblHeader w:val="0"/>
        </w:trPr>
        <w:tc>
          <w:tcPr>
            <w:shd w:fill="002d72" w:val="cle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shd w:fill="002d72" w:val="cle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gridSpan w:val="2"/>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Total</w:t>
            </w:r>
          </w:p>
        </w:tc>
        <w:tc>
          <w:tcPr>
            <w:vAlign w:val="center"/>
          </w:tcPr>
          <w:p w:rsidR="00000000" w:rsidDel="00000000" w:rsidP="00000000" w:rsidRDefault="00000000" w:rsidRPr="00000000" w14:paraId="000000C2">
            <w:pPr>
              <w:spacing w:line="259" w:lineRule="auto"/>
              <w:jc w:val="right"/>
              <w:rPr>
                <w:b w:val="1"/>
              </w:rPr>
            </w:pPr>
            <w:r w:rsidDel="00000000" w:rsidR="00000000" w:rsidRPr="00000000">
              <w:rPr>
                <w:b w:val="1"/>
                <w:rtl w:val="0"/>
              </w:rPr>
              <w:t xml:space="preserve">$654,905.68</w:t>
            </w:r>
          </w:p>
        </w:tc>
        <w:tc>
          <w:tcP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b w:val="1"/>
                <w:rtl w:val="0"/>
              </w:rPr>
              <w:t xml:space="preserve">$2,363,317.77</w:t>
            </w:r>
            <w:r w:rsidDel="00000000" w:rsidR="00000000" w:rsidRPr="00000000">
              <w:rPr>
                <w:rtl w:val="0"/>
              </w:rPr>
            </w:r>
          </w:p>
        </w:tc>
        <w:tc>
          <w:tcPr>
            <w:vAlign w:val="center"/>
          </w:tcPr>
          <w:p w:rsidR="00000000" w:rsidDel="00000000" w:rsidP="00000000" w:rsidRDefault="00000000" w:rsidRPr="00000000" w14:paraId="000000C4">
            <w:pPr>
              <w:spacing w:line="259" w:lineRule="auto"/>
              <w:jc w:val="right"/>
              <w:rPr>
                <w:b w:val="1"/>
              </w:rPr>
            </w:pPr>
            <w:r w:rsidDel="00000000" w:rsidR="00000000" w:rsidRPr="00000000">
              <w:rPr>
                <w:b w:val="1"/>
                <w:rtl w:val="0"/>
              </w:rPr>
              <w:t xml:space="preserve">$5,307,676.01</w:t>
            </w:r>
          </w:p>
        </w:tc>
      </w:tr>
    </w:tbl>
    <w:p w:rsidR="00000000" w:rsidDel="00000000" w:rsidP="00000000" w:rsidRDefault="00000000" w:rsidRPr="00000000" w14:paraId="000000C5">
      <w:pPr>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C6">
      <w:pPr>
        <w:pStyle w:val="Heading2"/>
        <w:rPr/>
      </w:pPr>
      <w:r w:rsidDel="00000000" w:rsidR="00000000" w:rsidRPr="00000000">
        <w:rPr>
          <w:rtl w:val="0"/>
        </w:rPr>
        <w:t xml:space="preserve">Estudios</w:t>
      </w:r>
    </w:p>
    <w:p w:rsidR="00000000" w:rsidDel="00000000" w:rsidP="00000000" w:rsidRDefault="00000000" w:rsidRPr="00000000" w14:paraId="000000C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las asignaciones estratégicas para acelerar el</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Logro académico</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incluido la manera en que las asignaciones apoyan las inversiones identificadas en la evaluación de las necesidades del distrito:</w:t>
      </w:r>
    </w:p>
    <w:tbl>
      <w:tblPr>
        <w:tblStyle w:val="Table4"/>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0C8">
            <w:pPr>
              <w:spacing w:line="259" w:lineRule="auto"/>
              <w:rPr/>
            </w:pPr>
            <w:r w:rsidDel="00000000" w:rsidR="00000000" w:rsidRPr="00000000">
              <w:rPr>
                <w:rtl w:val="0"/>
              </w:rPr>
              <w:t xml:space="preserve">Para abordar la pérdida de aprendizaje de los estudiantes del condado de Grundy, planeamos implementar una variedad de apoyos para nuestros estudiantes en los próximos años.</w:t>
            </w:r>
          </w:p>
          <w:p w:rsidR="00000000" w:rsidDel="00000000" w:rsidP="00000000" w:rsidRDefault="00000000" w:rsidRPr="00000000" w14:paraId="000000C9">
            <w:pPr>
              <w:spacing w:line="259" w:lineRule="auto"/>
              <w:rPr/>
            </w:pPr>
            <w:r w:rsidDel="00000000" w:rsidR="00000000" w:rsidRPr="00000000">
              <w:rPr>
                <w:rtl w:val="0"/>
              </w:rPr>
              <w:t xml:space="preserve">1. El condado de Grundy tiene la intención de aprovechar el programa TN All Corps para ayudar con tutoría de baja proporción. Además de TN All Corp, el distrito complementará el pago de los maestros para que podamos ofrecer tutoría a los estudiantes en riesgo durante el día escolar regular. Los maestros serán compensados ​​por el tiempo de planificación después de la escuela para que puedan usar el tiempo de planificación durante el día para realizar tutorías de baja proporción a los estudiantes en riesgo. El distrito tiene la intención de reclutar a nuestros maestros más efectivos para obtener el máximo beneficio para nuestros estudiantes. Los maestros se enfocarán en mover a los estudiantes desde abajo y acercarse al nivel de grado al nivel y dominio. Usaremos nuestro currículo adoptado para materiales para esta tutoría. La efectividad de la tutoría se medirá con puntos de referencia alineados con los estándares CASE que se brindan tres veces durante el año y también a través de evaluaciones formativas alineadas con los estándares que se brindan utilizando el banco de elementos CASE y el seguimiento de conexión de dominio. Se requerirá que los maestros que imparten tutoría sigan el progreso hacia el logro de las metas de tutoría del distrito y lo envíen al coordinador de tutoría asignado a su escuela. Además, los resultados de TCAP y EOC serán monitoreados cada año como una fuente adicional de datos.</w:t>
            </w:r>
          </w:p>
          <w:p w:rsidR="00000000" w:rsidDel="00000000" w:rsidP="00000000" w:rsidRDefault="00000000" w:rsidRPr="00000000" w14:paraId="000000CA">
            <w:pPr>
              <w:spacing w:line="259" w:lineRule="auto"/>
              <w:rPr/>
            </w:pPr>
            <w:r w:rsidDel="00000000" w:rsidR="00000000" w:rsidRPr="00000000">
              <w:rPr>
                <w:rtl w:val="0"/>
              </w:rPr>
            </w:r>
          </w:p>
          <w:p w:rsidR="00000000" w:rsidDel="00000000" w:rsidP="00000000" w:rsidRDefault="00000000" w:rsidRPr="00000000" w14:paraId="000000CB">
            <w:pPr>
              <w:spacing w:line="259" w:lineRule="auto"/>
              <w:rPr/>
            </w:pPr>
            <w:r w:rsidDel="00000000" w:rsidR="00000000" w:rsidRPr="00000000">
              <w:rPr>
                <w:rtl w:val="0"/>
              </w:rPr>
              <w:t xml:space="preserve">2. El condado de Grundy ofrecerá un campamento de aprendizaje de verano cada año durante la vigencia de la subvención ESSER. Los campamentos de aprendizaje de verano se centrarán en abordar la pérdida de aprendizaje con nuestros grupos de estudiantes en mayor riesgo, incluidos los estudiantes económicamente desfavorecidos, estudiantes de educación excepcional, estudiantes sin hogar, estudiantes de crianza temporal y estudiantes de minorías. Los datos de los puntos de referencia del distrito, los datos de evaluación universal, los datos de tutoría y los datos de TCAP se utilizarán para determinar qué estudiantes pueden beneficiarse de los campamentos de aprendizaje de verano. Los campamentos de aprendizaje de verano se llevarán a cabo en las escuelas de todo el distrito.</w:t>
            </w:r>
          </w:p>
          <w:p w:rsidR="00000000" w:rsidDel="00000000" w:rsidP="00000000" w:rsidRDefault="00000000" w:rsidRPr="00000000" w14:paraId="000000CC">
            <w:pPr>
              <w:spacing w:line="259" w:lineRule="auto"/>
              <w:rPr/>
            </w:pPr>
            <w:r w:rsidDel="00000000" w:rsidR="00000000" w:rsidRPr="00000000">
              <w:rPr>
                <w:rtl w:val="0"/>
              </w:rPr>
            </w:r>
          </w:p>
          <w:p w:rsidR="00000000" w:rsidDel="00000000" w:rsidP="00000000" w:rsidRDefault="00000000" w:rsidRPr="00000000" w14:paraId="000000CD">
            <w:pPr>
              <w:spacing w:line="259" w:lineRule="auto"/>
              <w:rPr/>
            </w:pPr>
            <w:r w:rsidDel="00000000" w:rsidR="00000000" w:rsidRPr="00000000">
              <w:rPr>
                <w:rtl w:val="0"/>
              </w:rPr>
              <w:t xml:space="preserve">3. Los estudiantes de la escuela secundaria del condado de Grundy tendrán la oportunidad de participar en los campamentos de entrenamiento ACT que se ofrecen en la escuela secundaria. Los campamentos de entrenamiento ACT se ofrecerán hasta 3 veces al año. Los campamentos de entrenamiento abordarán la pérdida de aprendizaje asociada con la preparación para el examen ACT. La falta de instrucción durante el transcurso de la pandemia ha causado que los estudiantes de secundaria estén mal preparados para el ACT. Los datos de las pruebas de práctica CASE ACT del distrito y los puntajes ACT se utilizarán para evaluar la efectividad de esta estrategia.</w:t>
            </w:r>
          </w:p>
          <w:p w:rsidR="00000000" w:rsidDel="00000000" w:rsidP="00000000" w:rsidRDefault="00000000" w:rsidRPr="00000000" w14:paraId="000000CE">
            <w:pPr>
              <w:spacing w:line="259" w:lineRule="auto"/>
              <w:rPr/>
            </w:pPr>
            <w:r w:rsidDel="00000000" w:rsidR="00000000" w:rsidRPr="00000000">
              <w:rPr>
                <w:rtl w:val="0"/>
              </w:rPr>
            </w:r>
          </w:p>
          <w:p w:rsidR="00000000" w:rsidDel="00000000" w:rsidP="00000000" w:rsidRDefault="00000000" w:rsidRPr="00000000" w14:paraId="000000CF">
            <w:pPr>
              <w:spacing w:line="259" w:lineRule="auto"/>
              <w:rPr/>
            </w:pPr>
            <w:r w:rsidDel="00000000" w:rsidR="00000000" w:rsidRPr="00000000">
              <w:rPr>
                <w:rtl w:val="0"/>
              </w:rPr>
              <w:t xml:space="preserve">4. El condado de Grundy continuará aprovechando la RTI como un momento para abordar la pérdida de aprendizaje. Para que la intervención tenga éxito, se necesitan materiales de alta calidad basados en la investigación. La eficacia de la intervención se evaluará a través de los exámenes universales administrados tres veces al año y el seguimiento del progreso administrado cada dos semanas.</w:t>
            </w:r>
          </w:p>
          <w:p w:rsidR="00000000" w:rsidDel="00000000" w:rsidP="00000000" w:rsidRDefault="00000000" w:rsidRPr="00000000" w14:paraId="000000D0">
            <w:pPr>
              <w:spacing w:line="259" w:lineRule="auto"/>
              <w:rPr/>
            </w:pPr>
            <w:r w:rsidDel="00000000" w:rsidR="00000000" w:rsidRPr="00000000">
              <w:rPr>
                <w:rtl w:val="0"/>
              </w:rPr>
            </w:r>
          </w:p>
          <w:p w:rsidR="00000000" w:rsidDel="00000000" w:rsidP="00000000" w:rsidRDefault="00000000" w:rsidRPr="00000000" w14:paraId="000000D1">
            <w:pPr>
              <w:spacing w:line="259" w:lineRule="auto"/>
              <w:rPr/>
            </w:pPr>
            <w:r w:rsidDel="00000000" w:rsidR="00000000" w:rsidRPr="00000000">
              <w:rPr>
                <w:rtl w:val="0"/>
              </w:rPr>
              <w:t xml:space="preserve">5. Todas las escuelas primarias utilizarán Lectura Acelerada para medir el progreso hacia la recuperación de la pérdida de aprendizaje de lectura debido al tiempo de instrucción perdido. La eficacia se medirá por el crecimiento en los niveles de lectura de los estudiantes a medida que aumenta la lectura independiente.</w:t>
            </w:r>
          </w:p>
          <w:p w:rsidR="00000000" w:rsidDel="00000000" w:rsidP="00000000" w:rsidRDefault="00000000" w:rsidRPr="00000000" w14:paraId="000000D2">
            <w:pPr>
              <w:spacing w:line="259" w:lineRule="auto"/>
              <w:rPr/>
            </w:pPr>
            <w:r w:rsidDel="00000000" w:rsidR="00000000" w:rsidRPr="00000000">
              <w:rPr>
                <w:rtl w:val="0"/>
              </w:rPr>
            </w:r>
          </w:p>
          <w:p w:rsidR="00000000" w:rsidDel="00000000" w:rsidP="00000000" w:rsidRDefault="00000000" w:rsidRPr="00000000" w14:paraId="000000D3">
            <w:pPr>
              <w:spacing w:line="259" w:lineRule="auto"/>
              <w:rPr/>
            </w:pPr>
            <w:r w:rsidDel="00000000" w:rsidR="00000000" w:rsidRPr="00000000">
              <w:rPr>
                <w:rtl w:val="0"/>
              </w:rPr>
              <w:t xml:space="preserve">6. La tutoría después de la escuela y la recuperación de créditos en la escuela secundaria son necesarias para compensar el tiempo de instrucción perdido en la escuela secundaria y aumentar las posibilidades de que los estudiantes se gradúen a tiempo. Durante la pandemia, los estudiantes de secundaria que faltaron a la instrucción han tenido problemas para aprobar las clases y mantener los créditos para estar en camino de graduarse y pasar a la educación postsecundaria o al trabajo. Odysseyware se comprará y utilizará para ayudar a los estudiantes de secundaria a recuperarse de esta pérdida de aprendizaje. Este programa viene con evaluaciones alineadas con los estándares que se pueden usar para medir la efectividad. También se hará un seguimiento de la tasa de graduación.</w:t>
            </w:r>
          </w:p>
          <w:p w:rsidR="00000000" w:rsidDel="00000000" w:rsidP="00000000" w:rsidRDefault="00000000" w:rsidRPr="00000000" w14:paraId="000000D4">
            <w:pPr>
              <w:spacing w:line="259" w:lineRule="auto"/>
              <w:rPr/>
            </w:pPr>
            <w:r w:rsidDel="00000000" w:rsidR="00000000" w:rsidRPr="00000000">
              <w:rPr>
                <w:rtl w:val="0"/>
              </w:rPr>
            </w:r>
          </w:p>
          <w:p w:rsidR="00000000" w:rsidDel="00000000" w:rsidP="00000000" w:rsidRDefault="00000000" w:rsidRPr="00000000" w14:paraId="000000D5">
            <w:pPr>
              <w:spacing w:line="259" w:lineRule="auto"/>
              <w:rPr/>
            </w:pPr>
            <w:r w:rsidDel="00000000" w:rsidR="00000000" w:rsidRPr="00000000">
              <w:rPr>
                <w:rtl w:val="0"/>
              </w:rPr>
              <w:t xml:space="preserve">7. Con el fin de seguir el progreso para abordar la pérdida de aprendizaje, los estudiantes de secundaria reciben pruebas de referencia CASE tres veces durante el año. Se necesitan calculadoras TI-84 Plus para estas evaluaciones y para las pruebas EOC. Actualmente, no tenemos suficientes calculadoras para completar esta prueba en una ventana de tiempo que no requiera deshacer la pérdida de tiempo de instrucción. Se necesitan 50 calculadoras adicionales. Los datos de las evaluaciones CASE, las pruebas EOC de matemáticas y los puntajes ACT se utilizarán para evaluar la efectividad de esta estrategia. Además, los horarios de las pruebas serán monitoreados para asegurar que no haya pérdida de tiempo de instrucción.</w:t>
            </w:r>
          </w:p>
          <w:p w:rsidR="00000000" w:rsidDel="00000000" w:rsidP="00000000" w:rsidRDefault="00000000" w:rsidRPr="00000000" w14:paraId="000000D6">
            <w:pPr>
              <w:spacing w:line="259" w:lineRule="auto"/>
              <w:rPr/>
            </w:pPr>
            <w:r w:rsidDel="00000000" w:rsidR="00000000" w:rsidRPr="00000000">
              <w:rPr>
                <w:rtl w:val="0"/>
              </w:rPr>
            </w:r>
          </w:p>
          <w:p w:rsidR="00000000" w:rsidDel="00000000" w:rsidP="00000000" w:rsidRDefault="00000000" w:rsidRPr="00000000" w14:paraId="000000D7">
            <w:pPr>
              <w:spacing w:line="259" w:lineRule="auto"/>
              <w:rPr/>
            </w:pPr>
            <w:r w:rsidDel="00000000" w:rsidR="00000000" w:rsidRPr="00000000">
              <w:rPr>
                <w:rtl w:val="0"/>
              </w:rPr>
              <w:t xml:space="preserve">8. Los materiales de alta calidad son necesarios para una instrucción eficaz en el aula y para abordar la pérdida de aprendizaje debido a la pandemia de covid 19. Los libros de texto de inglés de la escuela secundaria y los nuevos materiales de matemáticas K-12 jugarán un papel importante para garantizar que nuestros maestros tengan lo que se necesita para esta instrucción efectiva en el aula.</w:t>
            </w:r>
            <w:r w:rsidDel="00000000" w:rsidR="00000000" w:rsidRPr="00000000">
              <w:rPr>
                <w:rtl w:val="0"/>
              </w:rPr>
            </w:r>
          </w:p>
        </w:tc>
      </w:tr>
    </w:tbl>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las iniciativas incluidas en la categoría “otro”</w:t>
      </w:r>
    </w:p>
    <w:tbl>
      <w:tblPr>
        <w:tblStyle w:val="Table5"/>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0DA">
            <w:pPr>
              <w:spacing w:line="259" w:lineRule="auto"/>
              <w:rPr/>
            </w:pPr>
            <w:r w:rsidDel="00000000" w:rsidR="00000000" w:rsidRPr="00000000">
              <w:rPr>
                <w:rtl w:val="0"/>
              </w:rPr>
              <w:t xml:space="preserve">Las iniciativas incluidas en la categoría “otras” incluyen las siguientes:</w:t>
            </w:r>
          </w:p>
          <w:p w:rsidR="00000000" w:rsidDel="00000000" w:rsidP="00000000" w:rsidRDefault="00000000" w:rsidRPr="00000000" w14:paraId="000000DB">
            <w:pPr>
              <w:numPr>
                <w:ilvl w:val="0"/>
                <w:numId w:val="5"/>
              </w:numPr>
              <w:spacing w:line="259" w:lineRule="auto"/>
              <w:ind w:left="720" w:hanging="360"/>
              <w:rPr>
                <w:u w:val="none"/>
              </w:rPr>
            </w:pPr>
            <w:r w:rsidDel="00000000" w:rsidR="00000000" w:rsidRPr="00000000">
              <w:rPr>
                <w:rtl w:val="0"/>
              </w:rPr>
              <w:t xml:space="preserve">OdysseyWare: programa utilizado para la recuperación de la pérdida de aprendizaje en GCHS y para la instrucción virtual durante las primeras etapas de la pandemia</w:t>
            </w:r>
          </w:p>
          <w:p w:rsidR="00000000" w:rsidDel="00000000" w:rsidP="00000000" w:rsidRDefault="00000000" w:rsidRPr="00000000" w14:paraId="000000DC">
            <w:pPr>
              <w:numPr>
                <w:ilvl w:val="0"/>
                <w:numId w:val="5"/>
              </w:numPr>
              <w:spacing w:line="259" w:lineRule="auto"/>
              <w:ind w:left="720" w:hanging="360"/>
              <w:rPr>
                <w:u w:val="none"/>
              </w:rPr>
            </w:pPr>
            <w:r w:rsidDel="00000000" w:rsidR="00000000" w:rsidRPr="00000000">
              <w:rPr>
                <w:rtl w:val="0"/>
              </w:rPr>
              <w:t xml:space="preserve">IXL: programa utilizado para la recuperación de pérdidas de aprendizaje en GCHS</w:t>
            </w:r>
          </w:p>
          <w:p w:rsidR="00000000" w:rsidDel="00000000" w:rsidP="00000000" w:rsidRDefault="00000000" w:rsidRPr="00000000" w14:paraId="000000DD">
            <w:pPr>
              <w:numPr>
                <w:ilvl w:val="0"/>
                <w:numId w:val="5"/>
              </w:numPr>
              <w:spacing w:line="259" w:lineRule="auto"/>
              <w:ind w:left="720" w:hanging="360"/>
              <w:rPr>
                <w:u w:val="none"/>
              </w:rPr>
            </w:pPr>
            <w:r w:rsidDel="00000000" w:rsidR="00000000" w:rsidRPr="00000000">
              <w:rPr>
                <w:rtl w:val="0"/>
              </w:rPr>
              <w:t xml:space="preserve">Calculadoras TI-84: necesarias para las pruebas comparativas en GCHS</w:t>
            </w:r>
          </w:p>
          <w:p w:rsidR="00000000" w:rsidDel="00000000" w:rsidP="00000000" w:rsidRDefault="00000000" w:rsidRPr="00000000" w14:paraId="000000DE">
            <w:pPr>
              <w:numPr>
                <w:ilvl w:val="0"/>
                <w:numId w:val="5"/>
              </w:numPr>
              <w:spacing w:line="259" w:lineRule="auto"/>
              <w:ind w:left="720" w:hanging="360"/>
              <w:rPr>
                <w:u w:val="none"/>
              </w:rPr>
            </w:pPr>
            <w:r w:rsidDel="00000000" w:rsidR="00000000" w:rsidRPr="00000000">
              <w:rPr>
                <w:rtl w:val="0"/>
              </w:rPr>
              <w:t xml:space="preserve">Evaluación comparativa de CASE</w:t>
            </w:r>
          </w:p>
          <w:p w:rsidR="00000000" w:rsidDel="00000000" w:rsidP="00000000" w:rsidRDefault="00000000" w:rsidRPr="00000000" w14:paraId="000000DF">
            <w:pPr>
              <w:numPr>
                <w:ilvl w:val="0"/>
                <w:numId w:val="5"/>
              </w:numPr>
              <w:spacing w:line="259" w:lineRule="auto"/>
              <w:ind w:left="720" w:hanging="360"/>
              <w:rPr>
                <w:u w:val="none"/>
              </w:rPr>
            </w:pPr>
            <w:r w:rsidDel="00000000" w:rsidR="00000000" w:rsidRPr="00000000">
              <w:rPr>
                <w:rtl w:val="0"/>
              </w:rPr>
              <w:t xml:space="preserve">Libros de texto y materiales de intervención de alta calidad</w:t>
            </w:r>
          </w:p>
          <w:p w:rsidR="00000000" w:rsidDel="00000000" w:rsidP="00000000" w:rsidRDefault="00000000" w:rsidRPr="00000000" w14:paraId="000000E0">
            <w:pPr>
              <w:numPr>
                <w:ilvl w:val="0"/>
                <w:numId w:val="5"/>
              </w:numPr>
              <w:spacing w:line="259" w:lineRule="auto"/>
              <w:ind w:left="720" w:hanging="360"/>
              <w:rPr>
                <w:u w:val="none"/>
              </w:rPr>
            </w:pPr>
            <w:r w:rsidDel="00000000" w:rsidR="00000000" w:rsidRPr="00000000">
              <w:rPr>
                <w:rtl w:val="0"/>
              </w:rPr>
              <w:t xml:space="preserve">Programa Power-Up Fitness para educación física</w:t>
            </w:r>
          </w:p>
          <w:p w:rsidR="00000000" w:rsidDel="00000000" w:rsidP="00000000" w:rsidRDefault="00000000" w:rsidRPr="00000000" w14:paraId="000000E1">
            <w:pPr>
              <w:numPr>
                <w:ilvl w:val="0"/>
                <w:numId w:val="5"/>
              </w:numPr>
              <w:spacing w:line="259" w:lineRule="auto"/>
              <w:ind w:left="720" w:hanging="360"/>
              <w:rPr>
                <w:u w:val="none"/>
              </w:rPr>
            </w:pPr>
            <w:r w:rsidDel="00000000" w:rsidR="00000000" w:rsidRPr="00000000">
              <w:rPr>
                <w:rtl w:val="0"/>
              </w:rPr>
              <w:t xml:space="preserve">ACT Bootcamp: necesario para mejorar la preparación de ACT para estudiantes de secundaria como resultado de la pérdida de aprendizaje</w:t>
            </w:r>
          </w:p>
          <w:p w:rsidR="00000000" w:rsidDel="00000000" w:rsidP="00000000" w:rsidRDefault="00000000" w:rsidRPr="00000000" w14:paraId="000000E2">
            <w:pPr>
              <w:spacing w:line="259" w:lineRule="auto"/>
              <w:rPr/>
            </w:pP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2"/>
        <w:rPr/>
      </w:pPr>
      <w:r w:rsidDel="00000000" w:rsidR="00000000" w:rsidRPr="00000000">
        <w:rPr>
          <w:rtl w:val="0"/>
        </w:rPr>
        <w:t xml:space="preserve">Preparación de estudiantes</w:t>
      </w:r>
    </w:p>
    <w:p w:rsidR="00000000" w:rsidDel="00000000" w:rsidP="00000000" w:rsidRDefault="00000000" w:rsidRPr="00000000" w14:paraId="000000E5">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Descripción de asignaciones estratégicas para apoyar la </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Preparación de estudiantes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y los Apoyos a nivel escolar necesarios para acceder a instrucción de alta calidad, incluido la manera en que las asignaciones apoyan las inversiones identificadas en la evaluación de las necesidades del distrito:</w:t>
      </w:r>
    </w:p>
    <w:tbl>
      <w:tblPr>
        <w:tblStyle w:val="Table6"/>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0E6">
            <w:pPr>
              <w:spacing w:line="259" w:lineRule="auto"/>
              <w:rPr/>
            </w:pPr>
            <w:r w:rsidDel="00000000" w:rsidR="00000000" w:rsidRPr="00000000">
              <w:rPr>
                <w:rtl w:val="0"/>
              </w:rPr>
              <w:t xml:space="preserve">El monto total en esta categoría está presupuestado para contratar a 3 trabajadores sociales para que el distrito aborde los problemas de salud mental de los estudiantes. Los subgrupos en riesgo se han visto afectados de manera desproporcionada por la pérdida de tiempo en la escuela de muchas maneras. La escuela ofrece un lugar para que los estudiantes obtengan apoyo para mejorar su salud mental. Los estudiantes mentalmente sanos están más equipados para aprender. Nuestro objetivo es mejorar la salud mental de nuestros estudiantes en riesgo para que podamos comenzar a abordar la pérdida de aprendizaje que han sufrido debido a Covid 19. Se utilizarán encuestas de estudiantes y padres, datos de referencia y asistencia para determinar el eficacia de los trabajadores sociales en la salud mental de los estudiantes.</w:t>
            </w: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las iniciativas incluidas en la categoría “otro”</w:t>
      </w:r>
    </w:p>
    <w:tbl>
      <w:tblPr>
        <w:tblStyle w:val="Table7"/>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0E9">
            <w:pPr>
              <w:spacing w:line="259" w:lineRule="auto"/>
              <w:rPr/>
            </w:pPr>
            <w:r w:rsidDel="00000000" w:rsidR="00000000" w:rsidRPr="00000000">
              <w:rPr>
                <w:rtl w:val="0"/>
              </w:rPr>
              <w:t xml:space="preserve">La LEA no tiene iniciativas incluidas en la categoría “otros”.</w:t>
            </w:r>
            <w:r w:rsidDel="00000000" w:rsidR="00000000" w:rsidRPr="00000000">
              <w:rPr>
                <w:rtl w:val="0"/>
              </w:rPr>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pStyle w:val="Heading2"/>
        <w:rPr/>
      </w:pPr>
      <w:r w:rsidDel="00000000" w:rsidR="00000000" w:rsidRPr="00000000">
        <w:rPr>
          <w:rtl w:val="0"/>
        </w:rPr>
        <w:t xml:space="preserve">Educadores</w:t>
      </w:r>
    </w:p>
    <w:p w:rsidR="00000000" w:rsidDel="00000000" w:rsidP="00000000" w:rsidRDefault="00000000" w:rsidRPr="00000000" w14:paraId="000000EC">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las asignaciones estratégicas para</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Contratar, retener y apoyar a los educadores y el personal docente</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incluido la manera en que las asignaciones apoyan las inversiones identificadas en la evaluación de las necesidades del distrito:</w:t>
      </w:r>
    </w:p>
    <w:tbl>
      <w:tblPr>
        <w:tblStyle w:val="Table8"/>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0ED">
            <w:pPr>
              <w:spacing w:line="259" w:lineRule="auto"/>
              <w:rPr/>
            </w:pPr>
            <w:r w:rsidDel="00000000" w:rsidR="00000000" w:rsidRPr="00000000">
              <w:rPr>
                <w:rtl w:val="0"/>
              </w:rPr>
              <w:t xml:space="preserve">Se asignó un estipendio para todos los empleados del distrito para tareas adicionales debido a la pandemia de COVID-19. Todos los empleados recibieron un estipendio de $1000.00. Esto tenía la intención de motivar y recompensar a los maestros por todo el tiempo extra y los deberes que han tenido durante este tiempo. La eficacia se medirá por la retención del personal.</w:t>
            </w:r>
            <w:r w:rsidDel="00000000" w:rsidR="00000000" w:rsidRPr="00000000">
              <w:rPr>
                <w:rtl w:val="0"/>
              </w:rPr>
            </w:r>
          </w:p>
        </w:tc>
      </w:tr>
    </w:tbl>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las iniciativas incluidas en la categoría “otro”</w:t>
      </w:r>
    </w:p>
    <w:tbl>
      <w:tblPr>
        <w:tblStyle w:val="Table9"/>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0F0">
            <w:pPr>
              <w:spacing w:line="259" w:lineRule="auto"/>
              <w:rPr/>
            </w:pPr>
            <w:r w:rsidDel="00000000" w:rsidR="00000000" w:rsidRPr="00000000">
              <w:rPr>
                <w:rtl w:val="0"/>
              </w:rPr>
              <w:t xml:space="preserve">La LEA no tiene iniciativas incluidas en la categoría “otros”.</w:t>
            </w:r>
            <w:r w:rsidDel="00000000" w:rsidR="00000000" w:rsidRPr="00000000">
              <w:rPr>
                <w:rtl w:val="0"/>
              </w:rPr>
            </w:r>
          </w:p>
        </w:tc>
      </w:tr>
    </w:tbl>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pStyle w:val="Heading2"/>
        <w:keepNext w:val="1"/>
        <w:rPr/>
      </w:pPr>
      <w:r w:rsidDel="00000000" w:rsidR="00000000" w:rsidRPr="00000000">
        <w:rPr>
          <w:rtl w:val="0"/>
        </w:rPr>
        <w:t xml:space="preserve">Aspectos fundamentales</w:t>
      </w:r>
    </w:p>
    <w:p w:rsidR="00000000" w:rsidDel="00000000" w:rsidP="00000000" w:rsidRDefault="00000000" w:rsidRPr="00000000" w14:paraId="000000F3">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187" w:right="331"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las asignaciones estratégicas para</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Fortalecer las expectativas estructurales</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incluido la manera en que las asignaciones apoyan las inversiones identificadas en la evaluación de las necesidades del distrito:</w:t>
      </w:r>
    </w:p>
    <w:tbl>
      <w:tblPr>
        <w:tblStyle w:val="Table10"/>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25" w:firstLine="0"/>
              <w:jc w:val="left"/>
              <w:rPr/>
            </w:pPr>
            <w:r w:rsidDel="00000000" w:rsidR="00000000" w:rsidRPr="00000000">
              <w:rPr>
                <w:rtl w:val="0"/>
              </w:rPr>
              <w:t xml:space="preserve">1. Reemplazo del techo para las escuelas primarias North Elementary y Tracy City Elementary; reparación de techo para Swiss Memorial y Grundy County High School.</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25"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25" w:firstLine="0"/>
              <w:jc w:val="left"/>
              <w:rPr/>
            </w:pPr>
            <w:r w:rsidDel="00000000" w:rsidR="00000000" w:rsidRPr="00000000">
              <w:rPr>
                <w:rtl w:val="0"/>
              </w:rPr>
              <w:t xml:space="preserve">2. Reemplazo de HVAC en todas las escuelas del distrito.</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25" w:firstLine="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25" w:firstLine="0"/>
              <w:jc w:val="left"/>
              <w:rPr/>
            </w:pPr>
            <w:r w:rsidDel="00000000" w:rsidR="00000000" w:rsidRPr="00000000">
              <w:rPr>
                <w:rtl w:val="0"/>
              </w:rPr>
              <w:t xml:space="preserve">Estas reparaciones ayudarán a mejorar la calidad del aire en todas estas escuelas y ayudarán con la tarea de mantener a nuestros estudiantes y maestros saludables y en la escuela. La asistencia tanto de los maestros como de los estudiantes se utilizará para evaluar la eficacia.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25"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25" w:firstLine="0"/>
              <w:jc w:val="left"/>
              <w:rPr/>
            </w:pPr>
            <w:r w:rsidDel="00000000" w:rsidR="00000000" w:rsidRPr="00000000">
              <w:rPr>
                <w:rtl w:val="0"/>
              </w:rPr>
              <w:t xml:space="preserve">3. Construcción de un vestíbulo para la Escuela Primaria Pelham: la construcción de un vestíbulo para la Escuela Primaria Pelham le dará al personal de Pelham un lugar para evaluar a los visitantes en busca de síntomas de covid y los ayudará a reducir el riesgo para los estudiantes y la facultad. La asistencia tanto de los maestros como de los estudiantes se utilizará para evaluar la eficacia.</w:t>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25"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187" w:right="331"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las iniciativas incluidas en la categoría “otro”</w:t>
      </w:r>
    </w:p>
    <w:tbl>
      <w:tblPr>
        <w:tblStyle w:val="Table11"/>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25"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t xml:space="preserve">Nuestro equipo de respuesta de Covid, que consta de recursos humanos, salud escolar coordinada, enfermeras escolares y directores, trabaja incansablemente para garantizar que mantengamos a los estudiantes y profesores de las escuelas del condado de Grundy tan seguros como sea posible cuando hay un caso positivo de Covid. Este equipo maneja todos los protocolos de exposición y rastreo de contactos. Esta cantidad presupuestada le dará al equipo un estipendio por todo su tiempo fuera del día laboral regular que se dedica a los protocolos de rastreo de contactos y exposición al covid. Las acciones de este equipo contienen la exposición después de que haya ocurrido una prueba positiva para que podamos mantener la asistencia del máximo número de estudiantes. Mediremos la efectividad de este equipo usando números de asistencia.</w:t>
            </w: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325"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pStyle w:val="Heading2"/>
        <w:rPr/>
      </w:pPr>
      <w:r w:rsidDel="00000000" w:rsidR="00000000" w:rsidRPr="00000000">
        <w:rPr>
          <w:rtl w:val="0"/>
        </w:rPr>
        <w:t xml:space="preserve">Supervisión, auditoría y presentación de informes </w:t>
      </w:r>
    </w:p>
    <w:p w:rsidR="00000000" w:rsidDel="00000000" w:rsidP="00000000" w:rsidRDefault="00000000" w:rsidRPr="00000000" w14:paraId="0000010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 manera en que la LEA supervisará activamente las asignaciones; llevará a cabo auditorías provisionales para garantizar la aplicación adecuada de los fondos; recopilará y administrará los elementos de datos que se deben informar; y trasmitirá esta información a la comunidad. </w:t>
      </w:r>
    </w:p>
    <w:tbl>
      <w:tblPr>
        <w:tblStyle w:val="Table12"/>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101">
            <w:pPr>
              <w:spacing w:line="259" w:lineRule="auto"/>
              <w:rPr/>
            </w:pPr>
            <w:r w:rsidDel="00000000" w:rsidR="00000000" w:rsidRPr="00000000">
              <w:rPr>
                <w:rtl w:val="0"/>
              </w:rPr>
              <w:t xml:space="preserve">El Supervisor de Programas Federales/Director de ESSER completó el presupuesto para ESSER. Todos los gastos de los fondos ESSER se procesan a través de la oficina del Supervisor de Programas Federales. El Director y el Asistente de Programas Federales utilizan hojas de cálculo y hojas de trabajo presupuestarias para organizar el presupuesto y los gastos para la financiación de ESSER. Al final de cada mes, el presupuesto de todo el dinero de ESSER se concilia con los informes de gastos de ESSER 1, 2 y 3. La oficina del Supervisor de Programas Federales mantiene registros de todos los gastos relacionados con ESSER desde la solicitud de compra hasta la entrega y el reembolso.</w:t>
            </w:r>
            <w:r w:rsidDel="00000000" w:rsidR="00000000" w:rsidRPr="00000000">
              <w:rPr>
                <w:rtl w:val="0"/>
              </w:rPr>
            </w:r>
          </w:p>
        </w:tc>
      </w:tr>
    </w:tbl>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 manera en que la LEA cumplirá con los requisitos para usar el 20 por ciento del ESSER 3.0 en servicios directos a los estudiantes para tratar la pérdida de aprendizaje o indicar la participación en TN ALL Corps.</w:t>
      </w:r>
    </w:p>
    <w:tbl>
      <w:tblPr>
        <w:tblStyle w:val="Table13"/>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90" w:before="0" w:line="259" w:lineRule="auto"/>
              <w:ind w:left="0" w:right="0" w:firstLine="0"/>
              <w:jc w:val="left"/>
              <w:rPr>
                <w:smallCaps w:val="0"/>
                <w:strike w:val="0"/>
                <w:color w:val="000000"/>
                <w:sz w:val="20"/>
                <w:szCs w:val="20"/>
                <w:u w:val="none"/>
                <w:shd w:fill="auto" w:val="clear"/>
                <w:vertAlign w:val="baseline"/>
              </w:rPr>
            </w:pPr>
            <w:r w:rsidDel="00000000" w:rsidR="00000000" w:rsidRPr="00000000">
              <w:rPr>
                <w:rtl w:val="0"/>
              </w:rPr>
              <w:t xml:space="preserve">La LEA está participando en TN All Corps.</w:t>
            </w: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90" w:before="0" w:line="259" w:lineRule="auto"/>
        <w:ind w:left="0" w:right="0" w:firstLine="0"/>
        <w:jc w:val="left"/>
        <w:rPr>
          <w:rFonts w:ascii="Open Sans" w:cs="Open Sans" w:eastAsia="Open Sans" w:hAnsi="Open Sans"/>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pStyle w:val="Heading2"/>
        <w:rPr>
          <w:color w:val="000000"/>
        </w:rPr>
      </w:pPr>
      <w:r w:rsidDel="00000000" w:rsidR="00000000" w:rsidRPr="00000000">
        <w:rPr>
          <w:rtl w:val="0"/>
        </w:rPr>
        <w:t xml:space="preserve">Participación de las familias y la comunidad </w:t>
      </w:r>
      <w:r w:rsidDel="00000000" w:rsidR="00000000" w:rsidRPr="00000000">
        <w:rPr>
          <w:rtl w:val="0"/>
        </w:rPr>
      </w:r>
    </w:p>
    <w:p w:rsidR="00000000" w:rsidDel="00000000" w:rsidP="00000000" w:rsidRDefault="00000000" w:rsidRPr="00000000" w14:paraId="0000010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 manera en que la LEA participó en consultas significativas con las partes interesadas en la elaboración del plan actualizado.</w:t>
      </w:r>
    </w:p>
    <w:tbl>
      <w:tblPr>
        <w:tblStyle w:val="Table14"/>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108">
            <w:pPr>
              <w:spacing w:line="259" w:lineRule="auto"/>
              <w:rPr/>
            </w:pPr>
            <w:r w:rsidDel="00000000" w:rsidR="00000000" w:rsidRPr="00000000">
              <w:rPr>
                <w:rtl w:val="0"/>
              </w:rPr>
              <w:t xml:space="preserve">La LEA proporcionó un resumen al público que incluía lo siguiente: asignaciones de ESSER 1.0, 2.0 y 3.0, el propósito de la financiación, gráficos con los resultados de la encuesta de la consulta inicial de las partes interesadas y los pasos que la LEA ha tomado para abordar las necesidades de la LEA. distrito como se encuentra en los resultados de la encuesta. Además, la LEA recopiló más información sobre cualquier necesidad adicional que se haya desarrollado para nuestros estudiantes o las necesidades de cualquier población especial de estudiantes. La LEA desglosará estos datos y determinará si es necesario realizar alguna modificación en los presupuestos de ESSER.</w:t>
            </w:r>
            <w:r w:rsidDel="00000000" w:rsidR="00000000" w:rsidRPr="00000000">
              <w:rPr>
                <w:rtl w:val="0"/>
              </w:rPr>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 manera en que la LEA logró la participación de al menos el 10% del total de las partes interesadas involucradas comparado con las respuestas recibidas para la elaboración del plan actualizado. </w:t>
      </w:r>
    </w:p>
    <w:tbl>
      <w:tblPr>
        <w:tblStyle w:val="Table15"/>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10B">
            <w:pPr>
              <w:spacing w:line="259" w:lineRule="auto"/>
              <w:rPr/>
            </w:pPr>
            <w:r w:rsidDel="00000000" w:rsidR="00000000" w:rsidRPr="00000000">
              <w:rPr>
                <w:rtl w:val="0"/>
              </w:rPr>
              <w:t xml:space="preserve">La LEA usó el mismo proceso para involucrar a las partes interesadas en este apéndice. La información y la oportunidad de responder estuvieron disponibles en cada uno de los edificios escolares de nuestro distrito, en línea y se enviaron a través de llamadas generales. Además, LEA está desarrollando una página de resumen para la financiación de ESSER que se alojará en el sitio web de LEA que contendrá un lugar para la retroalimentación del público.</w:t>
            </w:r>
            <w:r w:rsidDel="00000000" w:rsidR="00000000" w:rsidRPr="00000000">
              <w:rPr>
                <w:rtl w:val="0"/>
              </w:rPr>
            </w:r>
          </w:p>
        </w:tc>
      </w:tr>
    </w:tbl>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 manera en que la LEA logró la participación de una representación diversa de la población de las partes interesadas.</w:t>
      </w:r>
    </w:p>
    <w:tbl>
      <w:tblPr>
        <w:tblStyle w:val="Table16"/>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10E">
            <w:pPr>
              <w:spacing w:line="259" w:lineRule="auto"/>
              <w:rPr/>
            </w:pPr>
            <w:r w:rsidDel="00000000" w:rsidR="00000000" w:rsidRPr="00000000">
              <w:rPr>
                <w:rtl w:val="0"/>
              </w:rPr>
              <w:t xml:space="preserve">Al ofrecer la oportunidad de participación en todos los lugares y de tantas maneras diferentes, la LEA ha tenido éxito en obtener comentarios que son representativos de todas las poblaciones. Si algún grupo está subrepresentado, la LEA se comunicará con las partes interesadas representativas para garantizar que se consideren las necesidades de todas las poblaciones.</w:t>
            </w:r>
            <w:r w:rsidDel="00000000" w:rsidR="00000000" w:rsidRPr="00000000">
              <w:rPr>
                <w:rtl w:val="0"/>
              </w:rPr>
            </w:r>
          </w:p>
        </w:tc>
      </w:tr>
    </w:tbl>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187" w:right="0" w:hanging="187"/>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Describa la manera en que la LEA utilizó diversos modos de participación (tales como encuestas, reuniones presenciales o virtuales programadas, foros) para obtener información de las partes interesadas en la elaboración del plan actualizado.</w:t>
      </w:r>
    </w:p>
    <w:tbl>
      <w:tblPr>
        <w:tblStyle w:val="Table17"/>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p w:rsidR="00000000" w:rsidDel="00000000" w:rsidP="00000000" w:rsidRDefault="00000000" w:rsidRPr="00000000" w14:paraId="00000111">
            <w:pPr>
              <w:spacing w:line="259" w:lineRule="auto"/>
              <w:rPr/>
            </w:pPr>
            <w:r w:rsidDel="00000000" w:rsidR="00000000" w:rsidRPr="00000000">
              <w:rPr>
                <w:rtl w:val="0"/>
              </w:rPr>
              <w:t xml:space="preserve">Cada vez que LEA recopila comentarios, se implementan múltiples modos de participación que incluyen reuniones en persona, encuestas en línea y encuestas impresas. Además, la información se publica en línea y se envía a través de llamadas generales.</w:t>
            </w:r>
            <w:r w:rsidDel="00000000" w:rsidR="00000000" w:rsidRPr="00000000">
              <w:rPr>
                <w:rtl w:val="0"/>
              </w:rPr>
            </w:r>
          </w:p>
        </w:tc>
      </w:tr>
    </w:tbl>
    <w:p w:rsidR="00000000" w:rsidDel="00000000" w:rsidP="00000000" w:rsidRDefault="00000000" w:rsidRPr="00000000" w14:paraId="00000112">
      <w:pPr>
        <w:rPr/>
      </w:pPr>
      <w:r w:rsidDel="00000000" w:rsidR="00000000" w:rsidRPr="00000000">
        <w:rPr>
          <w:rtl w:val="0"/>
        </w:rPr>
      </w:r>
    </w:p>
    <w:sectPr>
      <w:headerReference r:id="rId7" w:type="default"/>
      <w:footerReference r:id="rId8" w:type="default"/>
      <w:pgSz w:h="15840" w:w="12240" w:orient="portrait"/>
      <w:pgMar w:bottom="1440" w:top="1440" w:left="1080" w:right="108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PermianSlabSerifTypeface"/>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080"/>
      </w:tabs>
      <w:spacing w:after="0" w:before="0" w:line="240" w:lineRule="auto"/>
      <w:ind w:left="0" w:right="0" w:firstLine="0"/>
      <w:jc w:val="left"/>
      <w:rPr>
        <w:rFonts w:ascii="Open Sans" w:cs="Open Sans" w:eastAsia="Open Sans" w:hAnsi="Open Sans"/>
        <w:b w:val="0"/>
        <w:i w:val="0"/>
        <w:smallCaps w:val="0"/>
        <w:strike w:val="0"/>
        <w:color w:val="1d1e1e"/>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División de Programas Federales y Supervisión</w:t>
      <w:tab/>
    </w:r>
    <w:r w:rsidDel="00000000" w:rsidR="00000000" w:rsidRPr="00000000">
      <w:rPr>
        <w:rFonts w:ascii="Open Sans" w:cs="Open Sans" w:eastAsia="Open Sans" w:hAnsi="Open Sans"/>
        <w:b w:val="0"/>
        <w:i w:val="0"/>
        <w:smallCaps w:val="0"/>
        <w:strike w:val="0"/>
        <w:color w:val="1d1e1e"/>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1d1e1e"/>
        <w:sz w:val="20"/>
        <w:szCs w:val="20"/>
        <w:u w:val="none"/>
        <w:shd w:fill="auto" w:val="clear"/>
        <w:vertAlign w:val="baseline"/>
        <w:rtl w:val="0"/>
      </w:rPr>
      <w:t xml:space="preserve"> | Fecha 2020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00800" cy="12700"/>
              <wp:effectExtent b="0" l="0" r="0" t="0"/>
              <wp:wrapNone/>
              <wp:docPr descr="Red Line&#10;" id="6" name="" title="line"/>
              <a:graphic>
                <a:graphicData uri="http://schemas.microsoft.com/office/word/2010/wordprocessingShape">
                  <wps:wsp>
                    <wps:cNvCnPr/>
                    <wps:spPr>
                      <a:xfrm>
                        <a:off x="2145600" y="3780000"/>
                        <a:ext cx="6400800" cy="0"/>
                      </a:xfrm>
                      <a:prstGeom prst="straightConnector1">
                        <a:avLst/>
                      </a:prstGeom>
                      <a:noFill/>
                      <a:ln cap="flat" cmpd="sng" w="9525">
                        <a:solidFill>
                          <a:srgbClr val="C8263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00800" cy="12700"/>
              <wp:effectExtent b="0" l="0" r="0" t="0"/>
              <wp:wrapNone/>
              <wp:docPr descr="Red Line&#10;" id="6" name="image2.png"/>
              <a:graphic>
                <a:graphicData uri="http://schemas.openxmlformats.org/drawingml/2006/picture">
                  <pic:pic>
                    <pic:nvPicPr>
                      <pic:cNvPr descr="Red Line&#10;" id="0" name="image2.png"/>
                      <pic:cNvPicPr preferRelativeResize="0"/>
                    </pic:nvPicPr>
                    <pic:blipFill>
                      <a:blip r:embed="rId1"/>
                      <a:srcRect/>
                      <a:stretch>
                        <a:fillRect/>
                      </a:stretch>
                    </pic:blipFill>
                    <pic:spPr>
                      <a:xfrm>
                        <a:off x="0" y="0"/>
                        <a:ext cx="6400800" cy="12700"/>
                      </a:xfrm>
                      <a:prstGeom prst="rect"/>
                      <a:ln/>
                    </pic:spPr>
                  </pic:pic>
                </a:graphicData>
              </a:graphic>
            </wp:anchor>
          </w:drawing>
        </mc:Fallback>
      </mc:AlternateConten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Andrew Johnson Tower • 710 James Robertson Parkway • Nashville, TN 37243</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tn.gov/education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Pr>
      <w:drawing>
        <wp:inline distB="0" distT="0" distL="0" distR="0">
          <wp:extent cx="1417320" cy="557530"/>
          <wp:effectExtent b="0" l="0" r="0" t="0"/>
          <wp:docPr descr="TN Dept of Education&#10;" id="7" name="image1.png"/>
          <a:graphic>
            <a:graphicData uri="http://schemas.openxmlformats.org/drawingml/2006/picture">
              <pic:pic>
                <pic:nvPicPr>
                  <pic:cNvPr descr="TN Dept of Education&#10;" id="0" name="image1.png"/>
                  <pic:cNvPicPr preferRelativeResize="0"/>
                </pic:nvPicPr>
                <pic:blipFill>
                  <a:blip r:embed="rId1"/>
                  <a:srcRect b="0" l="0" r="0" t="0"/>
                  <a:stretch>
                    <a:fillRect/>
                  </a:stretch>
                </pic:blipFill>
                <pic:spPr>
                  <a:xfrm>
                    <a:off x="0" y="0"/>
                    <a:ext cx="1417320" cy="557530"/>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s-419"/>
      </w:rPr>
    </w:rPrDefault>
    <w:pPrDefault>
      <w:pPr>
        <w:spacing w:after="12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PermianSlabSerifTypeface" w:cs="PermianSlabSerifTypeface" w:eastAsia="PermianSlabSerifTypeface" w:hAnsi="PermianSlabSerifTypeface"/>
      <w:b w:val="1"/>
      <w:sz w:val="32"/>
      <w:szCs w:val="32"/>
    </w:rPr>
  </w:style>
  <w:style w:type="paragraph" w:styleId="Normal" w:default="1">
    <w:name w:val="Normal"/>
    <w:qFormat w:val="1"/>
    <w:rsid w:val="001A7FA9"/>
    <w:pPr>
      <w:spacing w:after="120"/>
    </w:pPr>
    <w:rPr>
      <w:rFonts w:ascii="Open Sans" w:cs="Open Sans" w:hAnsi="Open Sans"/>
      <w:sz w:val="20"/>
    </w:rPr>
  </w:style>
  <w:style w:type="paragraph" w:styleId="Heading1">
    <w:name w:val="heading 1"/>
    <w:basedOn w:val="Normal"/>
    <w:next w:val="Normal"/>
    <w:link w:val="Heading1Char"/>
    <w:uiPriority w:val="9"/>
    <w:qFormat w:val="1"/>
    <w:rsid w:val="001A7FA9"/>
    <w:pPr>
      <w:outlineLvl w:val="0"/>
    </w:pPr>
    <w:rPr>
      <w:b w:val="1"/>
    </w:rPr>
  </w:style>
  <w:style w:type="paragraph" w:styleId="Heading2">
    <w:name w:val="heading 2"/>
    <w:basedOn w:val="Normal"/>
    <w:next w:val="Normal"/>
    <w:link w:val="Heading2Char"/>
    <w:uiPriority w:val="9"/>
    <w:unhideWhenUsed w:val="1"/>
    <w:qFormat w:val="1"/>
    <w:rsid w:val="001A7FA9"/>
    <w:pPr>
      <w:outlineLvl w:val="1"/>
    </w:pPr>
    <w:rPr>
      <w:b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M1" w:customStyle="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styleId="Default" w:customStyle="1">
    <w:name w:val="Default"/>
    <w:rsid w:val="009728BA"/>
    <w:pPr>
      <w:autoSpaceDE w:val="0"/>
      <w:autoSpaceDN w:val="0"/>
      <w:adjustRightInd w:val="0"/>
      <w:spacing w:after="0" w:line="240" w:lineRule="auto"/>
    </w:pPr>
    <w:rPr>
      <w:rFonts w:ascii="Open Sans" w:cs="Open Sans" w:hAnsi="Open Sans"/>
      <w:color w:val="000000"/>
      <w:sz w:val="24"/>
      <w:szCs w:val="24"/>
    </w:rPr>
  </w:style>
  <w:style w:type="paragraph" w:styleId="CM11" w:customStyle="1">
    <w:name w:val="CM11"/>
    <w:basedOn w:val="Default"/>
    <w:next w:val="Default"/>
    <w:uiPriority w:val="99"/>
    <w:rsid w:val="009728BA"/>
    <w:rPr>
      <w:rFonts w:cs="Times New Roman"/>
      <w:color w:val="auto"/>
    </w:rPr>
  </w:style>
  <w:style w:type="paragraph" w:styleId="CM9" w:customStyle="1">
    <w:name w:val="CM9"/>
    <w:basedOn w:val="Default"/>
    <w:next w:val="Default"/>
    <w:uiPriority w:val="99"/>
    <w:rsid w:val="009728BA"/>
    <w:pPr>
      <w:spacing w:line="266" w:lineRule="atLeast"/>
    </w:pPr>
    <w:rPr>
      <w:rFonts w:cs="Times New Roman"/>
      <w:color w:val="auto"/>
    </w:rPr>
  </w:style>
  <w:style w:type="paragraph" w:styleId="CM3" w:customStyle="1">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val="1"/>
    <w:rsid w:val="00147A5F"/>
    <w:pPr>
      <w:ind w:left="720"/>
      <w:contextualSpacing w:val="1"/>
    </w:p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AD34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3483"/>
  </w:style>
  <w:style w:type="paragraph" w:styleId="Footer">
    <w:name w:val="footer"/>
    <w:basedOn w:val="Normal"/>
    <w:link w:val="FooterChar"/>
    <w:uiPriority w:val="99"/>
    <w:unhideWhenUsed w:val="1"/>
    <w:rsid w:val="00AD34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3483"/>
  </w:style>
  <w:style w:type="paragraph" w:styleId="Title">
    <w:name w:val="Title"/>
    <w:basedOn w:val="Normal"/>
    <w:next w:val="Normal"/>
    <w:link w:val="TitleChar"/>
    <w:uiPriority w:val="10"/>
    <w:qFormat w:val="1"/>
    <w:rsid w:val="00452E6C"/>
    <w:pPr>
      <w:jc w:val="center"/>
    </w:pPr>
    <w:rPr>
      <w:rFonts w:ascii="PermianSlabSerifTypeface" w:hAnsi="PermianSlabSerifTypeface"/>
      <w:b w:val="1"/>
      <w:bCs w:val="1"/>
      <w:sz w:val="32"/>
    </w:rPr>
  </w:style>
  <w:style w:type="character" w:styleId="TitleChar" w:customStyle="1">
    <w:name w:val="Title Char"/>
    <w:basedOn w:val="DefaultParagraphFont"/>
    <w:link w:val="Title"/>
    <w:uiPriority w:val="10"/>
    <w:rsid w:val="00452E6C"/>
    <w:rPr>
      <w:rFonts w:ascii="PermianSlabSerifTypeface" w:cs="Open Sans" w:hAnsi="PermianSlabSerifTypeface"/>
      <w:b w:val="1"/>
      <w:bCs w:val="1"/>
      <w:sz w:val="32"/>
    </w:rPr>
  </w:style>
  <w:style w:type="paragraph" w:styleId="Subtitle">
    <w:name w:val="Subtitle"/>
    <w:basedOn w:val="Normal"/>
    <w:next w:val="Normal"/>
    <w:link w:val="SubtitleChar"/>
    <w:uiPriority w:val="11"/>
    <w:qFormat w:val="1"/>
    <w:rsid w:val="00F939F8"/>
    <w:pPr>
      <w:jc w:val="center"/>
    </w:pPr>
    <w:rPr>
      <w:rFonts w:ascii="PermianSlabSerifTypeface" w:hAnsi="PermianSlabSerifTypeface"/>
      <w:sz w:val="32"/>
    </w:rPr>
  </w:style>
  <w:style w:type="character" w:styleId="SubtitleChar" w:customStyle="1">
    <w:name w:val="Subtitle Char"/>
    <w:basedOn w:val="DefaultParagraphFont"/>
    <w:link w:val="Subtitle"/>
    <w:uiPriority w:val="11"/>
    <w:rsid w:val="00F939F8"/>
    <w:rPr>
      <w:rFonts w:ascii="PermianSlabSerifTypeface" w:cs="Open Sans" w:hAnsi="PermianSlabSerifTypeface"/>
      <w:sz w:val="32"/>
    </w:rPr>
  </w:style>
  <w:style w:type="character" w:styleId="Heading1Char" w:customStyle="1">
    <w:name w:val="Heading 1 Char"/>
    <w:basedOn w:val="DefaultParagraphFont"/>
    <w:link w:val="Heading1"/>
    <w:uiPriority w:val="9"/>
    <w:rsid w:val="001A7FA9"/>
    <w:rPr>
      <w:rFonts w:ascii="Open Sans" w:cs="Open Sans" w:hAnsi="Open Sans"/>
      <w:b w:val="1"/>
      <w:sz w:val="20"/>
    </w:rPr>
  </w:style>
  <w:style w:type="character" w:styleId="Heading2Char" w:customStyle="1">
    <w:name w:val="Heading 2 Char"/>
    <w:basedOn w:val="DefaultParagraphFont"/>
    <w:link w:val="Heading2"/>
    <w:uiPriority w:val="9"/>
    <w:rsid w:val="001A7FA9"/>
    <w:rPr>
      <w:rFonts w:ascii="Open Sans" w:cs="Open Sans" w:hAnsi="Open Sans"/>
      <w:b w:val="1"/>
      <w:i w:val="1"/>
      <w:sz w:val="20"/>
    </w:rPr>
  </w:style>
  <w:style w:type="paragraph" w:styleId="NoSpacing">
    <w:name w:val="No Spacing"/>
    <w:uiPriority w:val="1"/>
    <w:qFormat w:val="1"/>
    <w:rsid w:val="00F55545"/>
    <w:pPr>
      <w:spacing w:after="0" w:line="240" w:lineRule="auto"/>
    </w:pPr>
    <w:rPr>
      <w:rFonts w:ascii="Open Sans" w:cs="Open Sans" w:hAnsi="Open Sans"/>
      <w:sz w:val="20"/>
    </w:rPr>
  </w:style>
  <w:style w:type="character" w:styleId="CommentReference">
    <w:name w:val="annotation reference"/>
    <w:basedOn w:val="DefaultParagraphFont"/>
    <w:uiPriority w:val="99"/>
    <w:semiHidden w:val="1"/>
    <w:unhideWhenUsed w:val="1"/>
    <w:rsid w:val="0093002D"/>
    <w:rPr>
      <w:sz w:val="16"/>
      <w:szCs w:val="16"/>
    </w:rPr>
  </w:style>
  <w:style w:type="paragraph" w:styleId="CommentText">
    <w:name w:val="annotation text"/>
    <w:basedOn w:val="Normal"/>
    <w:link w:val="CommentTextChar"/>
    <w:uiPriority w:val="99"/>
    <w:semiHidden w:val="1"/>
    <w:unhideWhenUsed w:val="1"/>
    <w:rsid w:val="0093002D"/>
    <w:pPr>
      <w:spacing w:line="240" w:lineRule="auto"/>
    </w:pPr>
    <w:rPr>
      <w:szCs w:val="20"/>
    </w:rPr>
  </w:style>
  <w:style w:type="character" w:styleId="CommentTextChar" w:customStyle="1">
    <w:name w:val="Comment Text Char"/>
    <w:basedOn w:val="DefaultParagraphFont"/>
    <w:link w:val="CommentText"/>
    <w:uiPriority w:val="99"/>
    <w:semiHidden w:val="1"/>
    <w:rsid w:val="0093002D"/>
    <w:rPr>
      <w:rFonts w:ascii="Open Sans" w:cs="Open Sans" w:hAnsi="Open Sans"/>
      <w:sz w:val="20"/>
      <w:szCs w:val="20"/>
    </w:rPr>
  </w:style>
  <w:style w:type="paragraph" w:styleId="CommentSubject">
    <w:name w:val="annotation subject"/>
    <w:basedOn w:val="CommentText"/>
    <w:next w:val="CommentText"/>
    <w:link w:val="CommentSubjectChar"/>
    <w:uiPriority w:val="99"/>
    <w:semiHidden w:val="1"/>
    <w:unhideWhenUsed w:val="1"/>
    <w:rsid w:val="0093002D"/>
    <w:rPr>
      <w:b w:val="1"/>
      <w:bCs w:val="1"/>
    </w:rPr>
  </w:style>
  <w:style w:type="character" w:styleId="CommentSubjectChar" w:customStyle="1">
    <w:name w:val="Comment Subject Char"/>
    <w:basedOn w:val="CommentTextChar"/>
    <w:link w:val="CommentSubject"/>
    <w:uiPriority w:val="99"/>
    <w:semiHidden w:val="1"/>
    <w:rsid w:val="0093002D"/>
    <w:rPr>
      <w:rFonts w:ascii="Open Sans" w:cs="Open Sans" w:hAnsi="Open Sans"/>
      <w:b w:val="1"/>
      <w:bCs w:val="1"/>
      <w:sz w:val="20"/>
      <w:szCs w:val="20"/>
    </w:rPr>
  </w:style>
  <w:style w:type="paragraph" w:styleId="Subtitle">
    <w:name w:val="Subtitle"/>
    <w:basedOn w:val="Normal"/>
    <w:next w:val="Normal"/>
    <w:pPr>
      <w:jc w:val="center"/>
    </w:pPr>
    <w:rPr>
      <w:rFonts w:ascii="PermianSlabSerifTypeface" w:cs="PermianSlabSerifTypeface" w:eastAsia="PermianSlabSerifTypeface" w:hAnsi="PermianSlabSerifTypeface"/>
      <w:sz w:val="32"/>
      <w:szCs w:val="32"/>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469woLp6zZ7jgqYr+69T1FgKA==">AMUW2mURqsRRIiAqmurIDPDLhk976O/NVtAkQUMoYS1Lk7gyQ5xOuCptUEeVGa2mb3+fpfFspuJ87fq8ZXT3xLGYac2Rv+LW78a14F23ZHliJjahg7xBx9mNDMIMPqK5hHj0RWI9f/dt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2021-10-28T17:40:00Z</dcterms:created>
  <dc:creator>Jennifer Rouse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ies>
</file>