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Freedom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Procedures for determination alignment with state standards, technology utilization and program appraisal</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(2)(i)10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Alignment with State Standards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alignment with state standards, the council each year will assign one or more teams to conduct a thorough review of the school’s </w:t>
      </w:r>
      <w:r w:rsidDel="00000000" w:rsidR="00000000" w:rsidRPr="00000000">
        <w:rPr>
          <w:sz w:val="24"/>
          <w:szCs w:val="24"/>
          <w:rtl w:val="0"/>
        </w:rPr>
        <w:t xml:space="preserve">KPREP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scores and shall use information from that review to develop the school’s Comprehensive School Improvement Plan.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Technology Utilization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determine use of technology, the council shall each year assign one or more teams to recommend appropriate technological approaches to address each priority need in the Comprehensive School Improvement Plan.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Appraisal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appraise the quality of our programs, the council at the end of each year shall review the observed results of each Comprehensive School Improvement Plan component. In addition, the review of test scores each year will help us to identify priority needs for future attention.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Technology Use Needs Assessment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School Improvement Planning process will include: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analysis of our </w:t>
      </w:r>
      <w:r w:rsidDel="00000000" w:rsidR="00000000" w:rsidRPr="00000000">
        <w:rPr>
          <w:sz w:val="24"/>
          <w:szCs w:val="24"/>
          <w:rtl w:val="0"/>
        </w:rPr>
        <w:t xml:space="preserve">KPREP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data and other school data as necessary to discover the extent to which our students are meeting state standards.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Systematic work to discover and correct the causes of and barriers to high performance and the extent to which technology utilization is a factor.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revision of our School Improvement Plan based on our needs assessment data for that year.  The Plan will set goals and will address contributing technology issues and methods to improve technology use (if necessary) to help move our students to state standards according to the timeable established by the Kentucky Board of Education.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implement this process to address technology utilization and barriers, and the resulting Plan will be monitored by the council through ongoing Implementation and Impact Checks.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Acceptable Use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year all students will be required to sign and date an Acceptable Use Policy in order to have access to school computers.  This policy is attached and considered part of this Technology Utilization Policy approved by the council.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Evaluation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evaluate the effectiveness of this policy through our School Improvement Planning Process.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reading 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Adopted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