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2023-2024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2081213</wp:posOffset>
            </wp:positionH>
            <wp:positionV relativeFrom="paragraph">
              <wp:posOffset>0</wp:posOffset>
            </wp:positionV>
            <wp:extent cx="1781175" cy="1295400"/>
            <wp:effectExtent b="0" l="0" r="0" t="0"/>
            <wp:wrapTopAndBottom distB="0" dist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903" l="0" r="0" t="1336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95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East Union Second Grade Supply List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ind w:left="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1 - 1” clear view binder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pocket folders without prongs with 3 holes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plastic pocket folders with prongs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pencils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bandaids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3 boxes of Kleenex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pair of scissors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packs of cap erasers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zip-up pencil pouch OR pencil box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pair of headphones/earbuds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4 boxes of 24 count Crayola crayons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packages of glue sticks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3 containers of Clorox wipes</w:t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Girls: quart size Ziploc bags and wide tip Dry Erase Markers</w:t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Boys: gallon size Ziploc bags and 2 packs of wide ruled notebook paper</w:t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sz w:val="28"/>
          <w:szCs w:val="28"/>
          <w:rtl w:val="0"/>
        </w:rPr>
        <w:t xml:space="preserve">Wish List: colored copy paper and white copy paper</w:t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+rNV1D+Y3lO11ZKXY8+UnC25qA==">CgMxLjA4AHIhMXpWdDFxc2xUTm9wTE53VTFtYk5CNE9tUjFoWHFQTl8t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