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AACF" w14:textId="0A6FC14F" w:rsidR="004C3348" w:rsidRPr="006A2837" w:rsidRDefault="00454699" w:rsidP="004C3348">
      <w:pPr>
        <w:pStyle w:val="Title"/>
      </w:pPr>
      <w:r w:rsidRPr="00454699">
        <w:rPr>
          <w:rFonts w:cs="Times New Roman"/>
          <w:bCs w:val="0"/>
          <w:caps w:val="0"/>
          <w:snapToGrid/>
          <w:kern w:val="0"/>
          <w:szCs w:val="20"/>
        </w:rPr>
        <w:t>ELSINBORO TOWNSHIP BOARD OF EDUCATION</w:t>
      </w:r>
      <w:r w:rsidR="004C3348" w:rsidRPr="006A2837">
        <w:tab/>
        <w:t>file code: 4144/4244</w:t>
      </w:r>
    </w:p>
    <w:p w14:paraId="20DA9C18" w14:textId="17DDBA1B" w:rsidR="004C3348" w:rsidRPr="006A2837" w:rsidRDefault="00454699" w:rsidP="004C3348">
      <w:pPr>
        <w:pStyle w:val="Heading2"/>
      </w:pPr>
      <w:r>
        <w:t>Salem</w:t>
      </w:r>
      <w:r w:rsidR="00BE73E3" w:rsidRPr="006A2837">
        <w:t xml:space="preserve">, </w:t>
      </w:r>
      <w:r w:rsidR="004C3348" w:rsidRPr="006A2837">
        <w:t>New Jersey</w:t>
      </w:r>
    </w:p>
    <w:p w14:paraId="7DA316D6" w14:textId="77777777" w:rsidR="004C3348" w:rsidRPr="006A2837" w:rsidRDefault="004C3348" w:rsidP="004C3348"/>
    <w:p w14:paraId="74B012F0" w14:textId="77777777" w:rsidR="004C3348" w:rsidRPr="006A2837" w:rsidRDefault="00ED5E29" w:rsidP="004C3348">
      <w:pPr>
        <w:pStyle w:val="Heading3"/>
      </w:pPr>
      <w:r w:rsidRPr="006A2837">
        <w:t>Policy</w:t>
      </w:r>
    </w:p>
    <w:p w14:paraId="21D3837D" w14:textId="77777777" w:rsidR="004C3348" w:rsidRPr="006A2837" w:rsidRDefault="004C3348" w:rsidP="004C3348">
      <w:pPr>
        <w:pStyle w:val="NoSpacing"/>
      </w:pPr>
    </w:p>
    <w:p w14:paraId="4A682774" w14:textId="77777777" w:rsidR="004C3348" w:rsidRPr="006A2837" w:rsidRDefault="004C3348" w:rsidP="004C3348">
      <w:pPr>
        <w:pStyle w:val="NoSpacing"/>
      </w:pPr>
    </w:p>
    <w:p w14:paraId="18BE6D34" w14:textId="112E0FE8" w:rsidR="00497A56" w:rsidRPr="006A2837" w:rsidRDefault="00497A56" w:rsidP="004C3348">
      <w:pPr>
        <w:pStyle w:val="NoSpacing"/>
      </w:pPr>
      <w:r w:rsidRPr="006A2837">
        <w:t xml:space="preserve">WORKERS COMPENSATION </w:t>
      </w:r>
    </w:p>
    <w:p w14:paraId="5C70121F" w14:textId="77777777" w:rsidR="004C036A" w:rsidRPr="006A2837" w:rsidRDefault="004C036A" w:rsidP="00497A56"/>
    <w:p w14:paraId="29EE057C" w14:textId="41CE82D5" w:rsidR="00794DE7" w:rsidRDefault="00960577" w:rsidP="00933930">
      <w:r>
        <w:t>T</w:t>
      </w:r>
      <w:r w:rsidRPr="00960577">
        <w:t xml:space="preserve">he </w:t>
      </w:r>
      <w:r w:rsidR="00933930" w:rsidRPr="00EA4431">
        <w:rPr>
          <w:rFonts w:cs="Helvetica"/>
        </w:rPr>
        <w:t xml:space="preserve">Elsinboro Township </w:t>
      </w:r>
      <w:r w:rsidRPr="00960577">
        <w:t>Board of Education seeks to provide the highest quality benefits while maintaining a sound fiscal policy.  The intention of the workers compensation law is to provide the best possible medical care and rehabilitation services available to employees injured while in the course of employment.  In order to accomplish this, the first step is to get an accurate diagnosis and begin the proper treatment immediately; therefore, unless an emergency situation exists, each injured employee must be treated by the</w:t>
      </w:r>
      <w:r w:rsidR="00621BAD">
        <w:t xml:space="preserve"> b</w:t>
      </w:r>
      <w:r w:rsidRPr="00960577">
        <w:t>oard appointed physician or assigned insurance carrier doctor</w:t>
      </w:r>
      <w:r w:rsidR="001C4794">
        <w:t>:</w:t>
      </w:r>
    </w:p>
    <w:p w14:paraId="6993DC2D" w14:textId="77777777" w:rsidR="00C26B58" w:rsidRDefault="00C26B58" w:rsidP="00933930"/>
    <w:p w14:paraId="6920F724" w14:textId="3F055565" w:rsidR="00C26B58" w:rsidRDefault="00C26B58" w:rsidP="00933930">
      <w:pPr>
        <w:tabs>
          <w:tab w:val="left" w:pos="360"/>
        </w:tabs>
        <w:ind w:left="360" w:hanging="360"/>
      </w:pPr>
      <w:r>
        <w:t>A.</w:t>
      </w:r>
      <w:r>
        <w:tab/>
        <w:t>In the case of an emergency situation, medical attention should be sought from the nearest or most practical facility available</w:t>
      </w:r>
      <w:r w:rsidR="001C4794">
        <w:t>;</w:t>
      </w:r>
    </w:p>
    <w:p w14:paraId="22E5CA8D" w14:textId="77777777" w:rsidR="00C26B58" w:rsidRDefault="00C26B58" w:rsidP="00933930">
      <w:pPr>
        <w:tabs>
          <w:tab w:val="left" w:pos="360"/>
        </w:tabs>
        <w:ind w:left="360" w:hanging="360"/>
      </w:pPr>
    </w:p>
    <w:p w14:paraId="30B60263" w14:textId="7187BD5E" w:rsidR="00C26B58" w:rsidRDefault="00C26B58" w:rsidP="00933930">
      <w:pPr>
        <w:tabs>
          <w:tab w:val="left" w:pos="360"/>
        </w:tabs>
        <w:ind w:left="360" w:hanging="360"/>
      </w:pPr>
      <w:r>
        <w:t>B.</w:t>
      </w:r>
      <w:r>
        <w:tab/>
        <w:t>In non-emergency situations, the school doctor or nurse must evaluate the injury first. He/she will refer the patient to other approved panel physician specialists if necessary</w:t>
      </w:r>
      <w:r w:rsidR="001C4794">
        <w:t>;</w:t>
      </w:r>
    </w:p>
    <w:p w14:paraId="42F22F19" w14:textId="77777777" w:rsidR="00C26B58" w:rsidRDefault="00C26B58" w:rsidP="00933930">
      <w:pPr>
        <w:tabs>
          <w:tab w:val="left" w:pos="360"/>
        </w:tabs>
        <w:ind w:left="360" w:hanging="360"/>
      </w:pPr>
    </w:p>
    <w:p w14:paraId="51864F6E" w14:textId="56ADAD4D" w:rsidR="00C26B58" w:rsidRDefault="00C26B58" w:rsidP="00933930">
      <w:pPr>
        <w:tabs>
          <w:tab w:val="left" w:pos="360"/>
        </w:tabs>
        <w:ind w:left="360" w:hanging="360"/>
      </w:pPr>
      <w:r>
        <w:t>C.</w:t>
      </w:r>
      <w:r>
        <w:tab/>
        <w:t>Lost work time may be authorized only by the district’s doctor or the referred specialist</w:t>
      </w:r>
      <w:r w:rsidR="001C4794">
        <w:t>;</w:t>
      </w:r>
    </w:p>
    <w:p w14:paraId="555C2600" w14:textId="77777777" w:rsidR="00C26B58" w:rsidRDefault="00C26B58" w:rsidP="00933930">
      <w:pPr>
        <w:tabs>
          <w:tab w:val="left" w:pos="360"/>
        </w:tabs>
        <w:ind w:left="360" w:hanging="360"/>
      </w:pPr>
    </w:p>
    <w:p w14:paraId="28A20308" w14:textId="7008989B" w:rsidR="00C26B58" w:rsidRDefault="00C26B58" w:rsidP="00933930">
      <w:pPr>
        <w:tabs>
          <w:tab w:val="left" w:pos="360"/>
        </w:tabs>
        <w:ind w:left="360" w:hanging="360"/>
      </w:pPr>
      <w:r>
        <w:t>D.</w:t>
      </w:r>
      <w:r>
        <w:tab/>
        <w:t>Failure to go to the school doctor, nurse or assigned insurance carrier doctor will result in the insurance company’s denial of payment of all disability and medical benefits an employee may be entitled to</w:t>
      </w:r>
      <w:r w:rsidR="001C4794">
        <w:t>;</w:t>
      </w:r>
    </w:p>
    <w:p w14:paraId="3E7E5464" w14:textId="77777777" w:rsidR="00C26B58" w:rsidRDefault="00C26B58" w:rsidP="00933930">
      <w:pPr>
        <w:tabs>
          <w:tab w:val="left" w:pos="360"/>
        </w:tabs>
        <w:ind w:left="360" w:hanging="360"/>
      </w:pPr>
    </w:p>
    <w:p w14:paraId="10426934" w14:textId="4B2AA810" w:rsidR="00C26B58" w:rsidRDefault="00C26B58" w:rsidP="00933930">
      <w:pPr>
        <w:tabs>
          <w:tab w:val="left" w:pos="360"/>
        </w:tabs>
        <w:ind w:left="360" w:hanging="360"/>
      </w:pPr>
      <w:r>
        <w:t>E.</w:t>
      </w:r>
      <w:r>
        <w:tab/>
        <w:t>Re-examination of the employee by the school doctor or the assigned insurance carrier doctor prior to returning to school work is required.</w:t>
      </w:r>
    </w:p>
    <w:p w14:paraId="1490C6FA" w14:textId="77777777" w:rsidR="00960577" w:rsidRDefault="00960577" w:rsidP="00933930"/>
    <w:p w14:paraId="1F011140" w14:textId="7CFEC851" w:rsidR="009D4579" w:rsidRDefault="009D4579" w:rsidP="009D4579">
      <w:r>
        <w:t xml:space="preserve">The </w:t>
      </w:r>
      <w:r w:rsidR="00867D76">
        <w:t xml:space="preserve">board of education shall </w:t>
      </w:r>
      <w:r>
        <w:t xml:space="preserve">provide a health insurance program for full-time, permanent employees in all classifications who are not represented by recognized bargaining groups comparable with those established by the </w:t>
      </w:r>
      <w:r w:rsidR="00867D76">
        <w:t xml:space="preserve">board of education/bargaining </w:t>
      </w:r>
      <w:r>
        <w:t xml:space="preserve">unit contract. </w:t>
      </w:r>
    </w:p>
    <w:p w14:paraId="65C7E9C1" w14:textId="77777777" w:rsidR="009D4579" w:rsidRDefault="009D4579" w:rsidP="009D4579"/>
    <w:p w14:paraId="05435C8F" w14:textId="23BB9635" w:rsidR="009D4579" w:rsidRDefault="009D4579" w:rsidP="009D4579">
      <w:r>
        <w:t xml:space="preserve">In addition, </w:t>
      </w:r>
      <w:r w:rsidR="00867D76">
        <w:t xml:space="preserve">the board will permit employees who are on leave </w:t>
      </w:r>
      <w:r>
        <w:t xml:space="preserve">of absence without pay to continue enrollment in the health benefits plan, provided that such employees pay the appropriate premiums. </w:t>
      </w:r>
    </w:p>
    <w:p w14:paraId="3BD14C8A" w14:textId="415F6F73" w:rsidR="009D4579" w:rsidRPr="006A2837" w:rsidRDefault="009D4579" w:rsidP="009D4579">
      <w:r>
        <w:t xml:space="preserve"> </w:t>
      </w:r>
    </w:p>
    <w:p w14:paraId="2B553B64" w14:textId="77777777" w:rsidR="00794DE7" w:rsidRPr="006A2837" w:rsidRDefault="00794DE7" w:rsidP="00497A56">
      <w:pPr>
        <w:rPr>
          <w:rStyle w:val="Emphasis"/>
        </w:rPr>
      </w:pPr>
      <w:r w:rsidRPr="006A2837">
        <w:rPr>
          <w:rStyle w:val="Emphasis"/>
        </w:rPr>
        <w:t>Reporting Incidents</w:t>
      </w:r>
    </w:p>
    <w:p w14:paraId="7FD440E5" w14:textId="77777777" w:rsidR="00794DE7" w:rsidRPr="006A2837" w:rsidRDefault="00794DE7" w:rsidP="00497A56"/>
    <w:p w14:paraId="0CCA7BAB" w14:textId="77777777" w:rsidR="00794DE7" w:rsidRPr="006A2837" w:rsidRDefault="00794DE7" w:rsidP="00794DE7">
      <w:r w:rsidRPr="006A2837">
        <w:t>An employee shall immediately report any accident or occupational illness to his or her department head, supervisor or the building principal. Same day notice of any work related injury or illness is required unless medically impossible due to an emergency. In no event shall notice of an injury or occupational illness be provided later than 48 hours from the time of the injury or from the time when the employee becomes aware of an occupational illness. Failure to promptly report an accident or occupational illness may delay the receipt of workers’ compensation benefits and may lead to disciplin</w:t>
      </w:r>
      <w:r w:rsidR="00F25551" w:rsidRPr="006A2837">
        <w:t>ary action</w:t>
      </w:r>
      <w:r w:rsidRPr="006A2837">
        <w:t>.</w:t>
      </w:r>
    </w:p>
    <w:p w14:paraId="4EF706F1" w14:textId="77777777" w:rsidR="00B26A09" w:rsidRPr="006A2837" w:rsidRDefault="00B26A09" w:rsidP="00794DE7"/>
    <w:p w14:paraId="75D231C0" w14:textId="77777777" w:rsidR="00B26A09" w:rsidRPr="006A2837" w:rsidRDefault="00B26A09" w:rsidP="00B26A09">
      <w:r w:rsidRPr="006A2837">
        <w:t xml:space="preserve">The employer and the employee shall cooperate with the insurance carrier to provide the best medical aid and services to the patient.  To this end, the </w:t>
      </w:r>
      <w:r w:rsidR="00BE73E3" w:rsidRPr="006A2837">
        <w:t>bo</w:t>
      </w:r>
      <w:r w:rsidRPr="006A2837">
        <w:t>ard is designating approved doctors to whom any employee of this district shall report, when practical, for examination and treatment.</w:t>
      </w:r>
    </w:p>
    <w:p w14:paraId="1BCB89AA" w14:textId="77777777" w:rsidR="00B26A09" w:rsidRPr="006A2837" w:rsidRDefault="00B26A09" w:rsidP="00B26A09"/>
    <w:p w14:paraId="6A6CFC6C" w14:textId="77777777" w:rsidR="00B26A09" w:rsidRPr="006A2837" w:rsidRDefault="00B26A09" w:rsidP="00B26A09">
      <w:r w:rsidRPr="006A2837">
        <w:t>All employees are to apply to the district approved doctors for examination and treatment in the event of accident or disease resulting from employment with the district, except when emergencies dictate otherwise.</w:t>
      </w:r>
    </w:p>
    <w:p w14:paraId="721CA7E1" w14:textId="77777777" w:rsidR="00794DE7" w:rsidRPr="006A2837" w:rsidRDefault="00794DE7" w:rsidP="00794DE7"/>
    <w:p w14:paraId="50614B1D" w14:textId="77777777" w:rsidR="00794DE7" w:rsidRPr="006A2837" w:rsidRDefault="00794DE7" w:rsidP="00794DE7">
      <w:pPr>
        <w:rPr>
          <w:u w:val="words"/>
        </w:rPr>
      </w:pPr>
      <w:r w:rsidRPr="006A2837">
        <w:rPr>
          <w:u w:val="words"/>
        </w:rPr>
        <w:t>Investigating Reported Work Related Injury or Illness</w:t>
      </w:r>
    </w:p>
    <w:p w14:paraId="3F8B726C" w14:textId="77777777" w:rsidR="00794DE7" w:rsidRPr="006A2837" w:rsidRDefault="00794DE7" w:rsidP="00794DE7"/>
    <w:p w14:paraId="63B17FBC" w14:textId="77777777" w:rsidR="00794DE7" w:rsidRPr="006A2837" w:rsidRDefault="005462FC" w:rsidP="00794DE7">
      <w:r w:rsidRPr="006A2837">
        <w:t>Any staff member receiving a report of a work related injury or illness shall notify t</w:t>
      </w:r>
      <w:r w:rsidR="00794DE7" w:rsidRPr="006A2837">
        <w:t>he building principal</w:t>
      </w:r>
      <w:r w:rsidR="00B26A09" w:rsidRPr="006A2837">
        <w:t>, or his or her designee,</w:t>
      </w:r>
      <w:r w:rsidR="00794DE7" w:rsidRPr="006A2837">
        <w:t xml:space="preserve"> </w:t>
      </w:r>
      <w:r w:rsidRPr="006A2837">
        <w:t>immediately</w:t>
      </w:r>
      <w:r w:rsidR="00794DE7" w:rsidRPr="006A2837">
        <w:t>.  The principal</w:t>
      </w:r>
      <w:r w:rsidRPr="006A2837">
        <w:t xml:space="preserve"> or his or her designee shall directly investigate the site of the incident to determine if there is or remains any threat to the safety and welfare of other employees</w:t>
      </w:r>
      <w:r w:rsidR="00F25551" w:rsidRPr="006A2837">
        <w:t>,</w:t>
      </w:r>
      <w:r w:rsidRPr="006A2837">
        <w:t xml:space="preserve"> students</w:t>
      </w:r>
      <w:r w:rsidR="00F25551" w:rsidRPr="006A2837">
        <w:t xml:space="preserve"> or other individuals</w:t>
      </w:r>
      <w:r w:rsidRPr="006A2837">
        <w:t xml:space="preserve">. The principal or his or her designee shall be responsible for ensuring reasonable </w:t>
      </w:r>
      <w:r w:rsidRPr="006A2837">
        <w:lastRenderedPageBreak/>
        <w:t>measures are taken to remediate any conditions that may pose a threat to the health, safety or welfare of other employees</w:t>
      </w:r>
      <w:r w:rsidR="00F25551" w:rsidRPr="006A2837">
        <w:t xml:space="preserve">, students </w:t>
      </w:r>
      <w:r w:rsidRPr="006A2837">
        <w:t xml:space="preserve">or </w:t>
      </w:r>
      <w:r w:rsidR="00F25551" w:rsidRPr="006A2837">
        <w:t>other individuals</w:t>
      </w:r>
      <w:r w:rsidRPr="006A2837">
        <w:t xml:space="preserve">. The principal shall promptly document </w:t>
      </w:r>
      <w:r w:rsidR="00F25551" w:rsidRPr="006A2837">
        <w:t xml:space="preserve">on the district accident report form </w:t>
      </w:r>
      <w:r w:rsidRPr="006A2837">
        <w:t>the conditions observed at the site of the injury or illness including observed hazards</w:t>
      </w:r>
      <w:r w:rsidR="00BD5F4D" w:rsidRPr="006A2837">
        <w:t xml:space="preserve"> if any, conversations with witnesses</w:t>
      </w:r>
      <w:r w:rsidR="00F25551" w:rsidRPr="006A2837">
        <w:t xml:space="preserve"> and any actions taken to correct problems encountered</w:t>
      </w:r>
      <w:r w:rsidRPr="006A2837">
        <w:t>.</w:t>
      </w:r>
    </w:p>
    <w:p w14:paraId="2B7E3BB8" w14:textId="77777777" w:rsidR="00794DE7" w:rsidRPr="006A2837" w:rsidRDefault="00794DE7" w:rsidP="00794DE7"/>
    <w:p w14:paraId="24C5D551" w14:textId="54C48544" w:rsidR="00794DE7" w:rsidRPr="006A2837" w:rsidRDefault="00F25551" w:rsidP="00794DE7">
      <w:r w:rsidRPr="006A2837">
        <w:t xml:space="preserve">The principal shall notify the </w:t>
      </w:r>
      <w:r w:rsidR="006A2837" w:rsidRPr="006A2837">
        <w:t>superintendent</w:t>
      </w:r>
      <w:r w:rsidRPr="006A2837">
        <w:t xml:space="preserve"> of </w:t>
      </w:r>
      <w:r w:rsidR="00F75F19" w:rsidRPr="006A2837">
        <w:t xml:space="preserve">any </w:t>
      </w:r>
      <w:r w:rsidRPr="006A2837">
        <w:t xml:space="preserve">reported work related accident or illness.  The </w:t>
      </w:r>
      <w:r w:rsidR="006A2837" w:rsidRPr="006A2837">
        <w:t>superintendent</w:t>
      </w:r>
      <w:r w:rsidRPr="006A2837">
        <w:t xml:space="preserve"> shall report </w:t>
      </w:r>
      <w:r w:rsidR="00D53527" w:rsidRPr="006A2837">
        <w:t xml:space="preserve">any </w:t>
      </w:r>
      <w:r w:rsidRPr="006A2837">
        <w:t xml:space="preserve">work related accident or illness to the board.  </w:t>
      </w:r>
    </w:p>
    <w:p w14:paraId="5495453D" w14:textId="77777777" w:rsidR="00794DE7" w:rsidRPr="006A2837" w:rsidRDefault="00794DE7" w:rsidP="00497A56"/>
    <w:p w14:paraId="31121D85" w14:textId="77777777" w:rsidR="004102DC" w:rsidRPr="00EA4431" w:rsidRDefault="004102DC" w:rsidP="004102DC">
      <w:pPr>
        <w:tabs>
          <w:tab w:val="left" w:pos="2880"/>
        </w:tabs>
      </w:pPr>
      <w:r w:rsidRPr="00EA4431">
        <w:t>Adopted:</w:t>
      </w:r>
      <w:r w:rsidRPr="00EA4431">
        <w:tab/>
        <w:t>January 12, 2009</w:t>
      </w:r>
    </w:p>
    <w:p w14:paraId="1F0342C6" w14:textId="77777777" w:rsidR="004102DC" w:rsidRPr="00EA4431" w:rsidRDefault="004102DC" w:rsidP="004102DC">
      <w:pPr>
        <w:tabs>
          <w:tab w:val="left" w:pos="2880"/>
        </w:tabs>
      </w:pPr>
      <w:r w:rsidRPr="00EA4431">
        <w:t>NJSBA Review/Update:</w:t>
      </w:r>
      <w:r w:rsidRPr="00EA4431">
        <w:tab/>
        <w:t xml:space="preserve">April 2022 </w:t>
      </w:r>
    </w:p>
    <w:p w14:paraId="5B255608" w14:textId="77777777" w:rsidR="004102DC" w:rsidRPr="00EA4431" w:rsidRDefault="004102DC" w:rsidP="004102DC">
      <w:pPr>
        <w:tabs>
          <w:tab w:val="left" w:pos="2880"/>
        </w:tabs>
      </w:pPr>
      <w:r w:rsidRPr="00EA4431">
        <w:t>Readopted:</w:t>
      </w:r>
    </w:p>
    <w:p w14:paraId="42626246" w14:textId="77777777" w:rsidR="004102DC" w:rsidRDefault="004102DC" w:rsidP="004102DC">
      <w:pPr>
        <w:tabs>
          <w:tab w:val="left" w:pos="1890"/>
          <w:tab w:val="left" w:pos="5400"/>
          <w:tab w:val="left" w:pos="5940"/>
        </w:tabs>
        <w:suppressAutoHyphens/>
        <w:rPr>
          <w:u w:val="single"/>
        </w:rPr>
      </w:pPr>
    </w:p>
    <w:p w14:paraId="2BF14919" w14:textId="77777777" w:rsidR="008821BD" w:rsidRPr="006A2837" w:rsidRDefault="008821BD" w:rsidP="00497A56">
      <w:pPr>
        <w:rPr>
          <w:rStyle w:val="Emphasis"/>
        </w:rPr>
      </w:pPr>
      <w:r w:rsidRPr="006A2837">
        <w:rPr>
          <w:rStyle w:val="Emphasis"/>
        </w:rPr>
        <w:t>Key Words</w:t>
      </w:r>
    </w:p>
    <w:p w14:paraId="628E1993" w14:textId="77777777" w:rsidR="008821BD" w:rsidRPr="006A2837" w:rsidRDefault="008821BD" w:rsidP="00497A56"/>
    <w:p w14:paraId="0077FFE9" w14:textId="77777777" w:rsidR="008821BD" w:rsidRPr="006A2837" w:rsidRDefault="008821BD" w:rsidP="00497A56">
      <w:r w:rsidRPr="006A2837">
        <w:t>Accident, Injury, Illness Disability, Disability Compensation</w:t>
      </w:r>
    </w:p>
    <w:p w14:paraId="16A14984" w14:textId="77777777" w:rsidR="00DB101F" w:rsidRPr="006A2837" w:rsidRDefault="00DB101F" w:rsidP="00497A56"/>
    <w:p w14:paraId="448E0573" w14:textId="77777777" w:rsidR="00DB101F" w:rsidRPr="006A2837" w:rsidRDefault="008821BD" w:rsidP="008821BD">
      <w:pPr>
        <w:tabs>
          <w:tab w:val="left" w:pos="2070"/>
          <w:tab w:val="left" w:pos="4320"/>
        </w:tabs>
      </w:pPr>
      <w:r w:rsidRPr="006A2837">
        <w:rPr>
          <w:rStyle w:val="Emphasis"/>
          <w:b/>
        </w:rPr>
        <w:t>Legal References:</w:t>
      </w:r>
      <w:r w:rsidRPr="006A2837">
        <w:t xml:space="preserve"> </w:t>
      </w:r>
      <w:r w:rsidRPr="006A2837">
        <w:tab/>
      </w:r>
      <w:r w:rsidR="00F75F19" w:rsidRPr="006A2837">
        <w:rPr>
          <w:bCs/>
          <w:u w:val="words"/>
        </w:rPr>
        <w:t>N.J.S.A</w:t>
      </w:r>
      <w:r w:rsidR="00F75F19" w:rsidRPr="006A2837">
        <w:rPr>
          <w:bCs/>
        </w:rPr>
        <w:t xml:space="preserve">. </w:t>
      </w:r>
      <w:r w:rsidR="00DB101F" w:rsidRPr="006A2837">
        <w:rPr>
          <w:bCs/>
        </w:rPr>
        <w:t>18A:29-14</w:t>
      </w:r>
      <w:r w:rsidR="00DB101F" w:rsidRPr="006A2837">
        <w:t xml:space="preserve"> </w:t>
      </w:r>
      <w:r w:rsidRPr="006A2837">
        <w:tab/>
      </w:r>
      <w:r w:rsidR="00DB101F" w:rsidRPr="006A2837">
        <w:t>Withholding increments; causes; notice of appeals</w:t>
      </w:r>
    </w:p>
    <w:p w14:paraId="1773F079" w14:textId="77777777" w:rsidR="008821BD" w:rsidRPr="006A2837" w:rsidRDefault="008821BD" w:rsidP="008821BD">
      <w:pPr>
        <w:tabs>
          <w:tab w:val="left" w:pos="2070"/>
          <w:tab w:val="left" w:pos="4320"/>
        </w:tabs>
        <w:rPr>
          <w:bCs/>
        </w:rPr>
      </w:pPr>
      <w:r w:rsidRPr="006A2837">
        <w:rPr>
          <w:bCs/>
          <w:u w:val="words"/>
        </w:rPr>
        <w:tab/>
      </w:r>
      <w:r w:rsidR="00F75F19" w:rsidRPr="006A2837">
        <w:rPr>
          <w:bCs/>
          <w:u w:val="words"/>
        </w:rPr>
        <w:t>N.J.S.A</w:t>
      </w:r>
      <w:r w:rsidR="00F75F19" w:rsidRPr="006A2837">
        <w:rPr>
          <w:bCs/>
        </w:rPr>
        <w:t>. 18A:30-2.1</w:t>
      </w:r>
      <w:r w:rsidRPr="006A2837">
        <w:rPr>
          <w:rFonts w:ascii="Verdana" w:hAnsi="Verdana"/>
          <w:color w:val="333333"/>
        </w:rPr>
        <w:t xml:space="preserve"> </w:t>
      </w:r>
      <w:r w:rsidRPr="006A2837">
        <w:rPr>
          <w:rFonts w:ascii="Verdana" w:hAnsi="Verdana"/>
          <w:color w:val="333333"/>
        </w:rPr>
        <w:tab/>
      </w:r>
      <w:r w:rsidRPr="006A2837">
        <w:rPr>
          <w:bCs/>
        </w:rPr>
        <w:t xml:space="preserve">Sick leave payment for service connected disability; </w:t>
      </w:r>
    </w:p>
    <w:p w14:paraId="55DD0C1A" w14:textId="77777777" w:rsidR="00F75F19" w:rsidRPr="006A2837" w:rsidRDefault="008821BD" w:rsidP="008821BD">
      <w:pPr>
        <w:tabs>
          <w:tab w:val="left" w:pos="2070"/>
          <w:tab w:val="left" w:pos="4320"/>
        </w:tabs>
      </w:pPr>
      <w:r w:rsidRPr="006A2837">
        <w:rPr>
          <w:bCs/>
        </w:rPr>
        <w:tab/>
      </w:r>
      <w:r w:rsidRPr="006A2837">
        <w:rPr>
          <w:bCs/>
        </w:rPr>
        <w:tab/>
        <w:t>satisfactory service</w:t>
      </w:r>
    </w:p>
    <w:p w14:paraId="1C26197D" w14:textId="77777777" w:rsidR="00F75F19" w:rsidRPr="006A2837" w:rsidRDefault="008821BD" w:rsidP="008821BD">
      <w:pPr>
        <w:tabs>
          <w:tab w:val="left" w:pos="2070"/>
          <w:tab w:val="left" w:pos="4320"/>
        </w:tabs>
      </w:pPr>
      <w:r w:rsidRPr="006A2837">
        <w:rPr>
          <w:u w:val="words"/>
        </w:rPr>
        <w:tab/>
      </w:r>
      <w:r w:rsidR="00F75F19" w:rsidRPr="006A2837">
        <w:rPr>
          <w:u w:val="words"/>
        </w:rPr>
        <w:t>N.J.S.A.</w:t>
      </w:r>
      <w:r w:rsidR="00F75F19" w:rsidRPr="006A2837">
        <w:t xml:space="preserve"> 34</w:t>
      </w:r>
      <w:r w:rsidR="004C036A" w:rsidRPr="006A2837">
        <w:t>:1</w:t>
      </w:r>
      <w:r w:rsidR="00F75F19" w:rsidRPr="006A2837">
        <w:t>5</w:t>
      </w:r>
      <w:r w:rsidR="004C036A" w:rsidRPr="006A2837">
        <w:t xml:space="preserve">-1 </w:t>
      </w:r>
      <w:r w:rsidR="004C036A" w:rsidRPr="006A2837">
        <w:rPr>
          <w:rStyle w:val="Emphasis"/>
        </w:rPr>
        <w:t>et seq.</w:t>
      </w:r>
      <w:r w:rsidR="004C036A" w:rsidRPr="006A2837">
        <w:t xml:space="preserve"> </w:t>
      </w:r>
      <w:r w:rsidRPr="006A2837">
        <w:tab/>
      </w:r>
      <w:r w:rsidR="004C036A" w:rsidRPr="006A2837">
        <w:t>Workers’ compensation</w:t>
      </w:r>
    </w:p>
    <w:p w14:paraId="7CAC944B" w14:textId="77777777" w:rsidR="004C036A" w:rsidRPr="006A2837" w:rsidRDefault="008821BD" w:rsidP="008821BD">
      <w:pPr>
        <w:tabs>
          <w:tab w:val="left" w:pos="2070"/>
          <w:tab w:val="left" w:pos="4320"/>
        </w:tabs>
        <w:rPr>
          <w:rStyle w:val="Emphasis"/>
        </w:rPr>
      </w:pPr>
      <w:r w:rsidRPr="006A2837">
        <w:rPr>
          <w:rStyle w:val="Emphasis"/>
        </w:rPr>
        <w:tab/>
      </w:r>
      <w:r w:rsidR="004C036A" w:rsidRPr="006A2837">
        <w:rPr>
          <w:rStyle w:val="Emphasis"/>
        </w:rPr>
        <w:t>See particularly</w:t>
      </w:r>
    </w:p>
    <w:p w14:paraId="03C1F0D1" w14:textId="77777777" w:rsidR="004C036A" w:rsidRPr="006A2837" w:rsidRDefault="008821BD" w:rsidP="008821BD">
      <w:pPr>
        <w:tabs>
          <w:tab w:val="left" w:pos="2070"/>
          <w:tab w:val="left" w:pos="4320"/>
        </w:tabs>
      </w:pPr>
      <w:r w:rsidRPr="006A2837">
        <w:rPr>
          <w:u w:val="words"/>
        </w:rPr>
        <w:tab/>
        <w:t xml:space="preserve">  </w:t>
      </w:r>
      <w:r w:rsidR="004C036A" w:rsidRPr="006A2837">
        <w:rPr>
          <w:u w:val="words"/>
        </w:rPr>
        <w:t>N.J.S.A.</w:t>
      </w:r>
      <w:r w:rsidR="004C036A" w:rsidRPr="006A2837">
        <w:t xml:space="preserve"> 34:15-</w:t>
      </w:r>
      <w:r w:rsidRPr="006A2837">
        <w:t>7</w:t>
      </w:r>
      <w:r w:rsidRPr="006A2837">
        <w:rPr>
          <w:rFonts w:ascii="Verdana" w:hAnsi="Verdana"/>
          <w:color w:val="333333"/>
        </w:rPr>
        <w:t xml:space="preserve"> </w:t>
      </w:r>
      <w:r w:rsidRPr="006A2837">
        <w:rPr>
          <w:rFonts w:ascii="Verdana" w:hAnsi="Verdana"/>
          <w:color w:val="333333"/>
        </w:rPr>
        <w:tab/>
      </w:r>
      <w:r w:rsidRPr="006A2837">
        <w:t>Compensation by agreement; defenses; burden of proof</w:t>
      </w:r>
    </w:p>
    <w:p w14:paraId="4240473C" w14:textId="77777777" w:rsidR="008821BD" w:rsidRPr="006A2837" w:rsidRDefault="008821BD" w:rsidP="00497A56"/>
    <w:p w14:paraId="36F9A350" w14:textId="77777777" w:rsidR="008821BD" w:rsidRPr="006A2837" w:rsidRDefault="008821BD" w:rsidP="008821BD">
      <w:pPr>
        <w:tabs>
          <w:tab w:val="left" w:pos="-1440"/>
          <w:tab w:val="left" w:pos="-720"/>
          <w:tab w:val="left" w:pos="0"/>
          <w:tab w:val="left" w:pos="720"/>
          <w:tab w:val="left" w:pos="1440"/>
          <w:tab w:val="left" w:pos="1890"/>
          <w:tab w:val="left" w:pos="2880"/>
          <w:tab w:val="left" w:pos="3690"/>
          <w:tab w:val="left" w:pos="5040"/>
        </w:tabs>
        <w:suppressAutoHyphens/>
        <w:rPr>
          <w:b/>
        </w:rPr>
      </w:pPr>
      <w:r w:rsidRPr="006A2837">
        <w:rPr>
          <w:b/>
          <w:u w:val="single"/>
        </w:rPr>
        <w:t>Possible</w:t>
      </w:r>
    </w:p>
    <w:p w14:paraId="21FAF7BA" w14:textId="77777777" w:rsidR="008821BD" w:rsidRPr="006A2837" w:rsidRDefault="008821BD" w:rsidP="008821BD">
      <w:pPr>
        <w:tabs>
          <w:tab w:val="left" w:pos="576"/>
          <w:tab w:val="left" w:pos="1890"/>
          <w:tab w:val="left" w:pos="2520"/>
          <w:tab w:val="left" w:pos="3600"/>
        </w:tabs>
        <w:suppressAutoHyphens/>
      </w:pPr>
      <w:r w:rsidRPr="006A2837">
        <w:rPr>
          <w:b/>
          <w:u w:val="single"/>
        </w:rPr>
        <w:t>Cross</w:t>
      </w:r>
      <w:r w:rsidRPr="006A2837">
        <w:rPr>
          <w:b/>
        </w:rPr>
        <w:t xml:space="preserve"> </w:t>
      </w:r>
      <w:r w:rsidRPr="006A2837">
        <w:rPr>
          <w:b/>
          <w:u w:val="single"/>
        </w:rPr>
        <w:t>References</w:t>
      </w:r>
      <w:r w:rsidRPr="006A2837">
        <w:rPr>
          <w:b/>
        </w:rPr>
        <w:t>:</w:t>
      </w:r>
      <w:r w:rsidRPr="006A2837">
        <w:tab/>
        <w:t xml:space="preserve"> 4150/4150</w:t>
      </w:r>
      <w:r w:rsidRPr="006A2837">
        <w:tab/>
        <w:t>Leaves</w:t>
      </w:r>
    </w:p>
    <w:p w14:paraId="33FE4EDF" w14:textId="77777777" w:rsidR="008821BD" w:rsidRPr="006A2837" w:rsidRDefault="008821BD" w:rsidP="008821BD">
      <w:pPr>
        <w:tabs>
          <w:tab w:val="left" w:pos="576"/>
          <w:tab w:val="left" w:pos="1890"/>
          <w:tab w:val="left" w:pos="2520"/>
          <w:tab w:val="left" w:pos="3600"/>
        </w:tabs>
        <w:suppressAutoHyphens/>
      </w:pPr>
      <w:r w:rsidRPr="006A2837">
        <w:t xml:space="preserve">                  </w:t>
      </w:r>
      <w:r w:rsidRPr="006A2837">
        <w:tab/>
        <w:t>*4151/4151</w:t>
      </w:r>
      <w:r w:rsidRPr="006A2837">
        <w:tab/>
        <w:t>Attendance patterns</w:t>
      </w:r>
    </w:p>
    <w:p w14:paraId="3E24929C" w14:textId="77777777" w:rsidR="008821BD" w:rsidRPr="006A2837" w:rsidRDefault="008821BD" w:rsidP="008821BD">
      <w:pPr>
        <w:tabs>
          <w:tab w:val="left" w:pos="576"/>
          <w:tab w:val="left" w:pos="1890"/>
          <w:tab w:val="left" w:pos="2520"/>
          <w:tab w:val="left" w:pos="3600"/>
        </w:tabs>
        <w:suppressAutoHyphens/>
      </w:pPr>
      <w:r w:rsidRPr="006A2837">
        <w:tab/>
      </w:r>
      <w:r w:rsidRPr="006A2837">
        <w:tab/>
        <w:t>*4151.1/4251.1</w:t>
      </w:r>
      <w:r w:rsidRPr="006A2837">
        <w:tab/>
        <w:t>Personal illness and injury</w:t>
      </w:r>
    </w:p>
    <w:p w14:paraId="1C193D18" w14:textId="77777777" w:rsidR="008821BD" w:rsidRPr="006A2837" w:rsidRDefault="008821BD" w:rsidP="008821BD">
      <w:pPr>
        <w:tabs>
          <w:tab w:val="left" w:pos="576"/>
          <w:tab w:val="left" w:pos="1890"/>
          <w:tab w:val="left" w:pos="2520"/>
          <w:tab w:val="left" w:pos="3600"/>
        </w:tabs>
        <w:suppressAutoHyphens/>
      </w:pPr>
    </w:p>
    <w:p w14:paraId="0F499411" w14:textId="77777777" w:rsidR="008821BD" w:rsidRPr="008821BD" w:rsidRDefault="008821BD" w:rsidP="008821BD">
      <w:pPr>
        <w:tabs>
          <w:tab w:val="left" w:pos="576"/>
          <w:tab w:val="left" w:pos="1890"/>
          <w:tab w:val="left" w:pos="2520"/>
          <w:tab w:val="left" w:pos="5616"/>
          <w:tab w:val="left" w:pos="7776"/>
          <w:tab w:val="left" w:pos="9216"/>
        </w:tabs>
        <w:suppressAutoHyphens/>
      </w:pPr>
      <w:r w:rsidRPr="006A2837">
        <w:t xml:space="preserve">*Indicates policy is included in the </w:t>
      </w:r>
      <w:r w:rsidRPr="006A2837">
        <w:rPr>
          <w:u w:val="single"/>
        </w:rPr>
        <w:t>Critical</w:t>
      </w:r>
      <w:r w:rsidRPr="006A2837">
        <w:t xml:space="preserve"> </w:t>
      </w:r>
      <w:r w:rsidRPr="006A2837">
        <w:rPr>
          <w:u w:val="single"/>
        </w:rPr>
        <w:t>Policy</w:t>
      </w:r>
      <w:r w:rsidRPr="006A2837">
        <w:t xml:space="preserve"> </w:t>
      </w:r>
      <w:r w:rsidRPr="006A2837">
        <w:rPr>
          <w:u w:val="single"/>
        </w:rPr>
        <w:t>Reference</w:t>
      </w:r>
      <w:r w:rsidRPr="006A2837">
        <w:t xml:space="preserve"> </w:t>
      </w:r>
      <w:r w:rsidRPr="006A2837">
        <w:rPr>
          <w:u w:val="single"/>
        </w:rPr>
        <w:t>Manual</w:t>
      </w:r>
      <w:r w:rsidRPr="006A2837">
        <w:t>.</w:t>
      </w:r>
    </w:p>
    <w:sectPr w:rsidR="008821BD" w:rsidRPr="008821BD" w:rsidSect="00D2767A">
      <w:headerReference w:type="default" r:id="rId10"/>
      <w:footerReference w:type="default" r:id="rId11"/>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A20D" w14:textId="77777777" w:rsidR="00613A5F" w:rsidRDefault="00613A5F" w:rsidP="004C3348">
      <w:r>
        <w:separator/>
      </w:r>
    </w:p>
  </w:endnote>
  <w:endnote w:type="continuationSeparator" w:id="0">
    <w:p w14:paraId="1E192D78" w14:textId="77777777" w:rsidR="00613A5F" w:rsidRDefault="00613A5F" w:rsidP="004C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85444"/>
      <w:docPartObj>
        <w:docPartGallery w:val="Page Numbers (Bottom of Page)"/>
        <w:docPartUnique/>
      </w:docPartObj>
    </w:sdtPr>
    <w:sdtEndPr>
      <w:rPr>
        <w:noProof/>
      </w:rPr>
    </w:sdtEndPr>
    <w:sdtContent>
      <w:p w14:paraId="5B79FD98" w14:textId="61739882" w:rsidR="008821BD" w:rsidRDefault="008821BD">
        <w:pPr>
          <w:pStyle w:val="Footer"/>
          <w:jc w:val="right"/>
        </w:pPr>
        <w:r>
          <w:fldChar w:fldCharType="begin"/>
        </w:r>
        <w:r>
          <w:instrText xml:space="preserve"> PAGE   \* MERGEFORMAT </w:instrText>
        </w:r>
        <w:r>
          <w:fldChar w:fldCharType="separate"/>
        </w:r>
        <w:r w:rsidR="00FD6BC1">
          <w:rPr>
            <w:noProof/>
          </w:rPr>
          <w:t>2</w:t>
        </w:r>
        <w:r>
          <w:rPr>
            <w:noProof/>
          </w:rPr>
          <w:fldChar w:fldCharType="end"/>
        </w:r>
      </w:p>
    </w:sdtContent>
  </w:sdt>
  <w:p w14:paraId="72029751" w14:textId="77777777" w:rsidR="008821BD" w:rsidRDefault="0088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7018" w14:textId="77777777" w:rsidR="00613A5F" w:rsidRDefault="00613A5F" w:rsidP="004C3348">
      <w:r>
        <w:separator/>
      </w:r>
    </w:p>
  </w:footnote>
  <w:footnote w:type="continuationSeparator" w:id="0">
    <w:p w14:paraId="770A6D04" w14:textId="77777777" w:rsidR="00613A5F" w:rsidRDefault="00613A5F" w:rsidP="004C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564D" w14:textId="77777777" w:rsidR="008821BD" w:rsidRDefault="008821BD" w:rsidP="004C3348">
    <w:pPr>
      <w:pStyle w:val="Header"/>
      <w:jc w:val="right"/>
    </w:pPr>
    <w:r>
      <w:t>File Code: 4144/4244</w:t>
    </w:r>
  </w:p>
  <w:p w14:paraId="1900B333" w14:textId="77777777" w:rsidR="008821BD" w:rsidRDefault="008821BD" w:rsidP="004C3348">
    <w:pPr>
      <w:pStyle w:val="Header"/>
    </w:pPr>
    <w:r w:rsidRPr="004C3348">
      <w:rPr>
        <w:rStyle w:val="Heading4Char"/>
      </w:rPr>
      <w:t>Worker’s compensation</w:t>
    </w:r>
    <w:r>
      <w:t xml:space="preserve"> (regulation continued)</w:t>
    </w:r>
  </w:p>
  <w:p w14:paraId="4AE75C4E" w14:textId="77777777" w:rsidR="008821BD" w:rsidRDefault="008821BD" w:rsidP="004C33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85D"/>
    <w:multiLevelType w:val="hybridMultilevel"/>
    <w:tmpl w:val="52A048F6"/>
    <w:lvl w:ilvl="0" w:tplc="724AEAAC">
      <w:start w:val="1"/>
      <w:numFmt w:val="upperLetter"/>
      <w:lvlText w:val="%1."/>
      <w:lvlJc w:val="left"/>
      <w:pPr>
        <w:ind w:hanging="721"/>
        <w:jc w:val="left"/>
      </w:pPr>
      <w:rPr>
        <w:rFonts w:ascii="Times New Roman" w:eastAsia="Times New Roman" w:hAnsi="Times New Roman" w:hint="default"/>
        <w:sz w:val="24"/>
        <w:szCs w:val="24"/>
      </w:rPr>
    </w:lvl>
    <w:lvl w:ilvl="1" w:tplc="561CF96C">
      <w:start w:val="1"/>
      <w:numFmt w:val="bullet"/>
      <w:lvlText w:val="•"/>
      <w:lvlJc w:val="left"/>
      <w:rPr>
        <w:rFonts w:hint="default"/>
      </w:rPr>
    </w:lvl>
    <w:lvl w:ilvl="2" w:tplc="33DE54A6">
      <w:start w:val="1"/>
      <w:numFmt w:val="bullet"/>
      <w:lvlText w:val="•"/>
      <w:lvlJc w:val="left"/>
      <w:rPr>
        <w:rFonts w:hint="default"/>
      </w:rPr>
    </w:lvl>
    <w:lvl w:ilvl="3" w:tplc="D1621320">
      <w:start w:val="1"/>
      <w:numFmt w:val="bullet"/>
      <w:lvlText w:val="•"/>
      <w:lvlJc w:val="left"/>
      <w:rPr>
        <w:rFonts w:hint="default"/>
      </w:rPr>
    </w:lvl>
    <w:lvl w:ilvl="4" w:tplc="32569B88">
      <w:start w:val="1"/>
      <w:numFmt w:val="bullet"/>
      <w:lvlText w:val="•"/>
      <w:lvlJc w:val="left"/>
      <w:rPr>
        <w:rFonts w:hint="default"/>
      </w:rPr>
    </w:lvl>
    <w:lvl w:ilvl="5" w:tplc="1A6050DA">
      <w:start w:val="1"/>
      <w:numFmt w:val="bullet"/>
      <w:lvlText w:val="•"/>
      <w:lvlJc w:val="left"/>
      <w:rPr>
        <w:rFonts w:hint="default"/>
      </w:rPr>
    </w:lvl>
    <w:lvl w:ilvl="6" w:tplc="53BA5740">
      <w:start w:val="1"/>
      <w:numFmt w:val="bullet"/>
      <w:lvlText w:val="•"/>
      <w:lvlJc w:val="left"/>
      <w:rPr>
        <w:rFonts w:hint="default"/>
      </w:rPr>
    </w:lvl>
    <w:lvl w:ilvl="7" w:tplc="BAD03A60">
      <w:start w:val="1"/>
      <w:numFmt w:val="bullet"/>
      <w:lvlText w:val="•"/>
      <w:lvlJc w:val="left"/>
      <w:rPr>
        <w:rFonts w:hint="default"/>
      </w:rPr>
    </w:lvl>
    <w:lvl w:ilvl="8" w:tplc="E5C8B0CA">
      <w:start w:val="1"/>
      <w:numFmt w:val="bullet"/>
      <w:lvlText w:val="•"/>
      <w:lvlJc w:val="left"/>
      <w:rPr>
        <w:rFonts w:hint="default"/>
      </w:rPr>
    </w:lvl>
  </w:abstractNum>
  <w:abstractNum w:abstractNumId="1" w15:restartNumberingAfterBreak="0">
    <w:nsid w:val="31832350"/>
    <w:multiLevelType w:val="hybridMultilevel"/>
    <w:tmpl w:val="DBE80E6A"/>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55A5F"/>
    <w:multiLevelType w:val="hybridMultilevel"/>
    <w:tmpl w:val="1550E59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2774831">
    <w:abstractNumId w:val="2"/>
  </w:num>
  <w:num w:numId="2" w16cid:durableId="1273242184">
    <w:abstractNumId w:val="1"/>
  </w:num>
  <w:num w:numId="3" w16cid:durableId="111544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A56"/>
    <w:rsid w:val="00020460"/>
    <w:rsid w:val="00030B67"/>
    <w:rsid w:val="00165D34"/>
    <w:rsid w:val="001C4794"/>
    <w:rsid w:val="0020242E"/>
    <w:rsid w:val="00215755"/>
    <w:rsid w:val="00227F74"/>
    <w:rsid w:val="00274516"/>
    <w:rsid w:val="002A4EA6"/>
    <w:rsid w:val="00323D1A"/>
    <w:rsid w:val="003B789C"/>
    <w:rsid w:val="004102DC"/>
    <w:rsid w:val="0042029C"/>
    <w:rsid w:val="00454699"/>
    <w:rsid w:val="00497A56"/>
    <w:rsid w:val="004A2C03"/>
    <w:rsid w:val="004C036A"/>
    <w:rsid w:val="004C3348"/>
    <w:rsid w:val="004D3005"/>
    <w:rsid w:val="0054165B"/>
    <w:rsid w:val="005462FC"/>
    <w:rsid w:val="00597E82"/>
    <w:rsid w:val="00613A5F"/>
    <w:rsid w:val="00621BAD"/>
    <w:rsid w:val="00635B33"/>
    <w:rsid w:val="006A2837"/>
    <w:rsid w:val="006C54E8"/>
    <w:rsid w:val="006E78BA"/>
    <w:rsid w:val="00720053"/>
    <w:rsid w:val="00724839"/>
    <w:rsid w:val="007602FE"/>
    <w:rsid w:val="00761562"/>
    <w:rsid w:val="00786425"/>
    <w:rsid w:val="00794DE7"/>
    <w:rsid w:val="007A1ACA"/>
    <w:rsid w:val="007F0B81"/>
    <w:rsid w:val="008056BD"/>
    <w:rsid w:val="00807308"/>
    <w:rsid w:val="00850CD9"/>
    <w:rsid w:val="00867D76"/>
    <w:rsid w:val="008821BD"/>
    <w:rsid w:val="00892653"/>
    <w:rsid w:val="008B48C6"/>
    <w:rsid w:val="008F6EF3"/>
    <w:rsid w:val="00933930"/>
    <w:rsid w:val="00950C23"/>
    <w:rsid w:val="00953AF0"/>
    <w:rsid w:val="00960577"/>
    <w:rsid w:val="009852BA"/>
    <w:rsid w:val="009C68D9"/>
    <w:rsid w:val="009D4579"/>
    <w:rsid w:val="00A80C87"/>
    <w:rsid w:val="00B109E1"/>
    <w:rsid w:val="00B22876"/>
    <w:rsid w:val="00B26A09"/>
    <w:rsid w:val="00B63393"/>
    <w:rsid w:val="00BC49ED"/>
    <w:rsid w:val="00BD5F4D"/>
    <w:rsid w:val="00BE73E3"/>
    <w:rsid w:val="00C26B58"/>
    <w:rsid w:val="00CA6B9A"/>
    <w:rsid w:val="00D02FB7"/>
    <w:rsid w:val="00D06C0B"/>
    <w:rsid w:val="00D07698"/>
    <w:rsid w:val="00D2767A"/>
    <w:rsid w:val="00D53527"/>
    <w:rsid w:val="00D652AB"/>
    <w:rsid w:val="00DB0A77"/>
    <w:rsid w:val="00DB101F"/>
    <w:rsid w:val="00DE7A2C"/>
    <w:rsid w:val="00E94ED4"/>
    <w:rsid w:val="00ED5E29"/>
    <w:rsid w:val="00F140F1"/>
    <w:rsid w:val="00F25551"/>
    <w:rsid w:val="00F75F19"/>
    <w:rsid w:val="00FC089A"/>
    <w:rsid w:val="00FC2478"/>
    <w:rsid w:val="00FD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46C9"/>
  <w15:docId w15:val="{EA808F31-E0D9-4B6E-AEC2-4F24087D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BA"/>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8056BD"/>
    <w:pPr>
      <w:pBdr>
        <w:bottom w:val="single" w:sz="18" w:space="1" w:color="auto"/>
      </w:pBdr>
      <w:spacing w:after="60"/>
      <w:outlineLvl w:val="1"/>
    </w:pPr>
    <w:rPr>
      <w:rFonts w:eastAsiaTheme="majorEastAsia" w:cstheme="majorBidi"/>
      <w:b/>
      <w:sz w:val="22"/>
    </w:rPr>
  </w:style>
  <w:style w:type="character" w:customStyle="1" w:styleId="SubtitleChar">
    <w:name w:val="Subtitle Char"/>
    <w:basedOn w:val="DefaultParagraphFont"/>
    <w:link w:val="Subtitle"/>
    <w:rsid w:val="008056BD"/>
    <w:rPr>
      <w:rFonts w:ascii="Helvetica" w:eastAsiaTheme="majorEastAsia" w:hAnsi="Helvetica" w:cstheme="majorBidi"/>
      <w:b/>
      <w:szCs w:val="24"/>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rsid w:val="009C68D9"/>
    <w:rPr>
      <w:rFonts w:ascii="Helvetica" w:eastAsiaTheme="majorEastAsia" w:hAnsi="Helvetica" w:cstheme="majorBidi"/>
      <w:bCs/>
      <w:iCs/>
      <w:caps/>
      <w:sz w:val="20"/>
      <w:u w:val="words"/>
    </w:rPr>
  </w:style>
  <w:style w:type="paragraph" w:styleId="Title">
    <w:name w:val="Title"/>
    <w:basedOn w:val="Normal"/>
    <w:next w:val="Normal"/>
    <w:link w:val="TitleChar"/>
    <w:autoRedefine/>
    <w:qFormat/>
    <w:rsid w:val="00DE7A2C"/>
    <w:pPr>
      <w:widowControl/>
      <w:tabs>
        <w:tab w:val="left" w:pos="6480"/>
      </w:tabs>
      <w:overflowPunct w:val="0"/>
      <w:autoSpaceDE w:val="0"/>
      <w:autoSpaceDN w:val="0"/>
      <w:adjustRightInd w:val="0"/>
      <w:textAlignment w:val="baseline"/>
    </w:pPr>
    <w:rPr>
      <w:rFonts w:cstheme="minorBidi"/>
      <w:b/>
      <w:bCs/>
      <w:caps/>
      <w:snapToGrid w:val="0"/>
      <w:kern w:val="28"/>
      <w:sz w:val="24"/>
      <w:szCs w:val="32"/>
    </w:rPr>
  </w:style>
  <w:style w:type="character" w:customStyle="1" w:styleId="TitleChar">
    <w:name w:val="Title Char"/>
    <w:link w:val="Title"/>
    <w:rsid w:val="00DE7A2C"/>
    <w:rPr>
      <w:rFonts w:ascii="Helvetica" w:hAnsi="Helvetica"/>
      <w:b/>
      <w:bCs/>
      <w:caps/>
      <w:snapToGrid w:val="0"/>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54165B"/>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ListParagraph">
    <w:name w:val="List Paragraph"/>
    <w:basedOn w:val="Normal"/>
    <w:uiPriority w:val="34"/>
    <w:qFormat/>
    <w:rsid w:val="004C3348"/>
    <w:pPr>
      <w:ind w:left="720"/>
      <w:contextualSpacing/>
    </w:pPr>
  </w:style>
  <w:style w:type="paragraph" w:styleId="Header">
    <w:name w:val="header"/>
    <w:basedOn w:val="Normal"/>
    <w:link w:val="HeaderChar"/>
    <w:uiPriority w:val="99"/>
    <w:unhideWhenUsed/>
    <w:rsid w:val="004C3348"/>
    <w:pPr>
      <w:tabs>
        <w:tab w:val="center" w:pos="4680"/>
        <w:tab w:val="right" w:pos="9360"/>
      </w:tabs>
    </w:pPr>
  </w:style>
  <w:style w:type="character" w:customStyle="1" w:styleId="HeaderChar">
    <w:name w:val="Header Char"/>
    <w:basedOn w:val="DefaultParagraphFont"/>
    <w:link w:val="Header"/>
    <w:uiPriority w:val="99"/>
    <w:rsid w:val="004C3348"/>
    <w:rPr>
      <w:rFonts w:ascii="Helvetica" w:hAnsi="Helvetica" w:cs="Times New Roman"/>
      <w:sz w:val="20"/>
      <w:szCs w:val="20"/>
    </w:rPr>
  </w:style>
  <w:style w:type="paragraph" w:styleId="Footer">
    <w:name w:val="footer"/>
    <w:basedOn w:val="Normal"/>
    <w:link w:val="FooterChar"/>
    <w:uiPriority w:val="99"/>
    <w:unhideWhenUsed/>
    <w:rsid w:val="004C3348"/>
    <w:pPr>
      <w:tabs>
        <w:tab w:val="center" w:pos="4680"/>
        <w:tab w:val="right" w:pos="9360"/>
      </w:tabs>
    </w:pPr>
  </w:style>
  <w:style w:type="character" w:customStyle="1" w:styleId="FooterChar">
    <w:name w:val="Footer Char"/>
    <w:basedOn w:val="DefaultParagraphFont"/>
    <w:link w:val="Footer"/>
    <w:uiPriority w:val="99"/>
    <w:rsid w:val="004C3348"/>
    <w:rPr>
      <w:rFonts w:ascii="Helvetica" w:hAnsi="Helvetica" w:cs="Times New Roman"/>
      <w:sz w:val="20"/>
      <w:szCs w:val="20"/>
    </w:rPr>
  </w:style>
  <w:style w:type="character" w:styleId="Hyperlink">
    <w:name w:val="Hyperlink"/>
    <w:basedOn w:val="DefaultParagraphFont"/>
    <w:uiPriority w:val="99"/>
    <w:unhideWhenUsed/>
    <w:rsid w:val="00ED5E29"/>
    <w:rPr>
      <w:color w:val="0000FF" w:themeColor="hyperlink"/>
      <w:u w:val="single"/>
    </w:rPr>
  </w:style>
  <w:style w:type="character" w:styleId="CommentReference">
    <w:name w:val="annotation reference"/>
    <w:basedOn w:val="DefaultParagraphFont"/>
    <w:uiPriority w:val="99"/>
    <w:semiHidden/>
    <w:unhideWhenUsed/>
    <w:rsid w:val="00227F74"/>
    <w:rPr>
      <w:sz w:val="16"/>
      <w:szCs w:val="16"/>
    </w:rPr>
  </w:style>
  <w:style w:type="paragraph" w:styleId="CommentText">
    <w:name w:val="annotation text"/>
    <w:basedOn w:val="Normal"/>
    <w:link w:val="CommentTextChar"/>
    <w:uiPriority w:val="99"/>
    <w:semiHidden/>
    <w:unhideWhenUsed/>
    <w:rsid w:val="00227F74"/>
  </w:style>
  <w:style w:type="character" w:customStyle="1" w:styleId="CommentTextChar">
    <w:name w:val="Comment Text Char"/>
    <w:basedOn w:val="DefaultParagraphFont"/>
    <w:link w:val="CommentText"/>
    <w:uiPriority w:val="99"/>
    <w:semiHidden/>
    <w:rsid w:val="00227F74"/>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7F74"/>
    <w:rPr>
      <w:b/>
      <w:bCs/>
    </w:rPr>
  </w:style>
  <w:style w:type="character" w:customStyle="1" w:styleId="CommentSubjectChar">
    <w:name w:val="Comment Subject Char"/>
    <w:basedOn w:val="CommentTextChar"/>
    <w:link w:val="CommentSubject"/>
    <w:uiPriority w:val="99"/>
    <w:semiHidden/>
    <w:rsid w:val="00227F74"/>
    <w:rPr>
      <w:rFonts w:ascii="Helvetica" w:hAnsi="Helvetica" w:cs="Times New Roman"/>
      <w:b/>
      <w:bCs/>
      <w:sz w:val="20"/>
      <w:szCs w:val="20"/>
    </w:rPr>
  </w:style>
  <w:style w:type="paragraph" w:styleId="BalloonText">
    <w:name w:val="Balloon Text"/>
    <w:basedOn w:val="Normal"/>
    <w:link w:val="BalloonTextChar"/>
    <w:uiPriority w:val="99"/>
    <w:semiHidden/>
    <w:unhideWhenUsed/>
    <w:rsid w:val="00227F74"/>
    <w:rPr>
      <w:rFonts w:ascii="Tahoma" w:hAnsi="Tahoma" w:cs="Tahoma"/>
      <w:sz w:val="16"/>
      <w:szCs w:val="16"/>
    </w:rPr>
  </w:style>
  <w:style w:type="character" w:customStyle="1" w:styleId="BalloonTextChar">
    <w:name w:val="Balloon Text Char"/>
    <w:basedOn w:val="DefaultParagraphFont"/>
    <w:link w:val="BalloonText"/>
    <w:uiPriority w:val="99"/>
    <w:semiHidden/>
    <w:rsid w:val="00227F74"/>
    <w:rPr>
      <w:rFonts w:ascii="Tahoma" w:hAnsi="Tahoma" w:cs="Tahoma"/>
      <w:sz w:val="16"/>
      <w:szCs w:val="16"/>
    </w:rPr>
  </w:style>
  <w:style w:type="paragraph" w:styleId="BodyText">
    <w:name w:val="Body Text"/>
    <w:basedOn w:val="Normal"/>
    <w:link w:val="BodyTextChar"/>
    <w:uiPriority w:val="99"/>
    <w:semiHidden/>
    <w:unhideWhenUsed/>
    <w:rsid w:val="004A2C03"/>
    <w:pPr>
      <w:spacing w:after="120"/>
    </w:pPr>
  </w:style>
  <w:style w:type="character" w:customStyle="1" w:styleId="BodyTextChar">
    <w:name w:val="Body Text Char"/>
    <w:basedOn w:val="DefaultParagraphFont"/>
    <w:link w:val="BodyText"/>
    <w:uiPriority w:val="99"/>
    <w:semiHidden/>
    <w:rsid w:val="004A2C03"/>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ABBC5-88E0-4F81-B108-2947BC9B3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5D7EC-7EC3-4631-AA8D-2F063721E681}">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3.xml><?xml version="1.0" encoding="utf-8"?>
<ds:datastoreItem xmlns:ds="http://schemas.openxmlformats.org/officeDocument/2006/customXml" ds:itemID="{F2382B96-6D33-4C27-BE4E-B10939B2E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Harkness</dc:creator>
  <cp:lastModifiedBy>Gina Cuciti</cp:lastModifiedBy>
  <cp:revision>23</cp:revision>
  <dcterms:created xsi:type="dcterms:W3CDTF">2017-02-16T14:08:00Z</dcterms:created>
  <dcterms:modified xsi:type="dcterms:W3CDTF">2022-07-14T18:15:00Z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2857600</vt:r8>
  </property>
  <property fmtid="{D5CDD505-2E9C-101B-9397-08002B2CF9AE}" pid="4" name="MediaServiceImageTags">
    <vt:lpwstr/>
  </property>
</Properties>
</file>