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41F5" w14:textId="224A684A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6749C5">
        <w:rPr>
          <w:rFonts w:ascii="Arial" w:hAnsi="Arial" w:cs="Arial"/>
          <w:b/>
          <w:spacing w:val="-3"/>
          <w:sz w:val="20"/>
        </w:rPr>
        <w:t xml:space="preserve">Sept </w:t>
      </w:r>
      <w:r w:rsidR="00432C7F">
        <w:rPr>
          <w:rFonts w:ascii="Arial" w:hAnsi="Arial" w:cs="Arial"/>
          <w:b/>
          <w:spacing w:val="-3"/>
          <w:sz w:val="20"/>
        </w:rPr>
        <w:t>9-13</w:t>
      </w:r>
      <w:r w:rsidR="00432C7F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>Advanced</w:t>
      </w:r>
      <w:r w:rsidR="006A2297">
        <w:rPr>
          <w:rFonts w:ascii="Arial" w:hAnsi="Arial" w:cs="Arial"/>
          <w:b/>
          <w:spacing w:val="-3"/>
          <w:sz w:val="20"/>
        </w:rPr>
        <w:t xml:space="preserve"> &amp; 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BE4632">
        <w:rPr>
          <w:rFonts w:ascii="Arial" w:hAnsi="Arial" w:cs="Arial"/>
          <w:b/>
          <w:spacing w:val="-3"/>
          <w:sz w:val="20"/>
        </w:rPr>
        <w:t>1,</w:t>
      </w:r>
      <w:r w:rsidR="00B1507A">
        <w:rPr>
          <w:rFonts w:ascii="Arial" w:hAnsi="Arial" w:cs="Arial"/>
          <w:b/>
          <w:spacing w:val="-3"/>
          <w:sz w:val="20"/>
        </w:rPr>
        <w:t>3,4</w:t>
      </w:r>
      <w:r w:rsidR="00BE4632">
        <w:rPr>
          <w:rFonts w:ascii="Arial" w:hAnsi="Arial" w:cs="Arial"/>
          <w:b/>
          <w:spacing w:val="-3"/>
          <w:sz w:val="20"/>
        </w:rPr>
        <w:t>, 5</w:t>
      </w:r>
      <w:r w:rsidR="00B1507A">
        <w:rPr>
          <w:rFonts w:ascii="Arial" w:hAnsi="Arial" w:cs="Arial"/>
          <w:b/>
          <w:spacing w:val="-3"/>
          <w:sz w:val="20"/>
        </w:rPr>
        <w:t>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42BB3E1A" w14:textId="77777777" w:rsidTr="00FF7EC1">
        <w:tc>
          <w:tcPr>
            <w:tcW w:w="490" w:type="dxa"/>
            <w:shd w:val="pct15" w:color="auto" w:fill="auto"/>
          </w:tcPr>
          <w:p w14:paraId="78B0202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17CD80C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41D3518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62EC6B9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2E81968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D23824C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164A7D72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B1507A" w:rsidRPr="001216CB" w14:paraId="48B153A7" w14:textId="77777777" w:rsidTr="00FF7EC1">
        <w:tc>
          <w:tcPr>
            <w:tcW w:w="490" w:type="dxa"/>
            <w:shd w:val="pct15" w:color="auto" w:fill="auto"/>
          </w:tcPr>
          <w:p w14:paraId="244A546C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52957911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B52661B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889694E" w14:textId="0A44714E" w:rsidR="00B66AFE" w:rsidRDefault="00B66AFE" w:rsidP="00B66A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5A99B0BF" w14:textId="77777777" w:rsidR="00B66AFE" w:rsidRDefault="00B66AFE" w:rsidP="00B66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424E80B0" w14:textId="551E804D" w:rsidR="00B1507A" w:rsidRPr="00172A7B" w:rsidRDefault="00B1507A" w:rsidP="00B15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10EAFAA7" w14:textId="77777777" w:rsidR="00B1507A" w:rsidRDefault="002316E4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All Classes:</w:t>
            </w:r>
          </w:p>
          <w:p w14:paraId="5FD058CC" w14:textId="61489D4A" w:rsidR="002316E4" w:rsidRDefault="002316E4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1--Read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The </w:t>
            </w:r>
            <w:proofErr w:type="gramStart"/>
            <w:r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Cay </w:t>
            </w:r>
            <w:r>
              <w:rPr>
                <w:rFonts w:ascii="Arial" w:hAnsi="Arial" w:cs="Arial"/>
                <w:spacing w:val="-2"/>
                <w:sz w:val="20"/>
              </w:rPr>
              <w:t xml:space="preserve"> CH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1 &amp; 2</w:t>
            </w:r>
          </w:p>
          <w:p w14:paraId="11E44280" w14:textId="3D20B45C" w:rsidR="002316E4" w:rsidRPr="002316E4" w:rsidRDefault="002316E4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2—Complete Ch 1 &amp; Ch 2 Reading Quizzes</w:t>
            </w:r>
          </w:p>
        </w:tc>
        <w:tc>
          <w:tcPr>
            <w:tcW w:w="2250" w:type="dxa"/>
          </w:tcPr>
          <w:p w14:paraId="7CD7D95A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00DFE77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6B87C66C" w14:textId="2D914DFC" w:rsidR="002316E4" w:rsidRDefault="002316E4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0008C226" w14:textId="77777777" w:rsidR="002316E4" w:rsidRDefault="002316E4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7FBA3C04" w14:textId="280A397E" w:rsidR="002316E4" w:rsidRPr="001216CB" w:rsidRDefault="002316E4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0041C7F9" w14:textId="44B68FE9" w:rsidR="00967249" w:rsidRPr="00CF23F4" w:rsidRDefault="00CF23F4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If a student is absent, he/she may take a copy of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</w:rPr>
              <w:t>The Cay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home to catch up on the missed reading and complete the reading quizzes as homework.  The reading quizzes are handouts that consist of 20 questions. These quizzes </w:t>
            </w:r>
            <w:r w:rsidR="00136E1F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are OPEN BOOK and 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will be minor grades. </w:t>
            </w:r>
            <w:r w:rsidR="00136E1F">
              <w:rPr>
                <w:rFonts w:ascii="Arial" w:hAnsi="Arial" w:cs="Arial"/>
                <w:b/>
                <w:bCs/>
                <w:spacing w:val="-2"/>
                <w:sz w:val="20"/>
              </w:rPr>
              <w:t>Students may also work on the quizzes in resource classes if need be.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There will be a MAJOR test at the end of the novel.</w:t>
            </w:r>
          </w:p>
        </w:tc>
        <w:tc>
          <w:tcPr>
            <w:tcW w:w="1980" w:type="dxa"/>
          </w:tcPr>
          <w:p w14:paraId="617D526A" w14:textId="77777777" w:rsidR="00B1507A" w:rsidRDefault="00041B1C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76A14590" w14:textId="3EE90274" w:rsidR="00041B1C" w:rsidRPr="006A73D9" w:rsidRDefault="00041B1C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7C6955DA" w14:textId="665F4D11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the week:</w:t>
            </w:r>
          </w:p>
          <w:p w14:paraId="74089624" w14:textId="14F7AB0A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0874E83B" w14:textId="77777777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07FDCA5F" w14:textId="77777777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23F6A8AA" w14:textId="2E495510" w:rsidR="00B1507A" w:rsidRPr="00151FBD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1507A" w:rsidRPr="001216CB" w14:paraId="5173B122" w14:textId="77777777" w:rsidTr="00FF7EC1">
        <w:tc>
          <w:tcPr>
            <w:tcW w:w="490" w:type="dxa"/>
            <w:shd w:val="pct15" w:color="auto" w:fill="auto"/>
          </w:tcPr>
          <w:p w14:paraId="55E31BF6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04B49499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51F5E97" w14:textId="77777777" w:rsidR="00B66AFE" w:rsidRDefault="00B66AFE" w:rsidP="00B66A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7F7CB1C6" w14:textId="77777777" w:rsidR="00B66AFE" w:rsidRDefault="00B66AFE" w:rsidP="00B66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09786992" w14:textId="6F6263BC" w:rsidR="00B1507A" w:rsidRPr="00172A7B" w:rsidRDefault="00B1507A" w:rsidP="00B15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35D6C741" w14:textId="77777777" w:rsidR="00B1507A" w:rsidRDefault="00041B1C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1—Read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  <w:r>
              <w:rPr>
                <w:rFonts w:ascii="Arial" w:hAnsi="Arial" w:cs="Arial"/>
                <w:spacing w:val="-2"/>
                <w:sz w:val="20"/>
              </w:rPr>
              <w:t xml:space="preserve"> CH 3 &amp; Ch 4</w:t>
            </w:r>
          </w:p>
          <w:p w14:paraId="6A7610B8" w14:textId="2508D41A" w:rsidR="00041B1C" w:rsidRPr="00041B1C" w:rsidRDefault="00041B1C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2—Complete reading quizzes for Chapters 3 &amp; 4</w:t>
            </w:r>
          </w:p>
        </w:tc>
        <w:tc>
          <w:tcPr>
            <w:tcW w:w="2250" w:type="dxa"/>
          </w:tcPr>
          <w:p w14:paraId="4E6C503D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6E2DE00" w14:textId="7DB57C8D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37C496F5" w14:textId="4878DF51" w:rsidR="00F531BF" w:rsidRDefault="00041B1C" w:rsidP="00F531B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spacing w:val="-2"/>
                <w:sz w:val="20"/>
              </w:rPr>
              <w:t>quizzes</w:t>
            </w:r>
            <w:proofErr w:type="gramEnd"/>
          </w:p>
          <w:p w14:paraId="2C4F157E" w14:textId="64FD1ED8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2B6969A9" w14:textId="325A19ED" w:rsidR="00F531BF" w:rsidRDefault="00136E1F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  <w:p w14:paraId="4A77D5F4" w14:textId="44FEDD49" w:rsidR="00F531BF" w:rsidRPr="00FE0873" w:rsidRDefault="00F531BF" w:rsidP="00041B1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0C923CD9" w14:textId="77777777" w:rsidR="00B1507A" w:rsidRDefault="00F531BF" w:rsidP="00B150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7257BD78" w14:textId="61350F9F" w:rsidR="00041B1C" w:rsidRPr="001541B8" w:rsidRDefault="00041B1C" w:rsidP="00B150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7B539B24" w14:textId="624AE605" w:rsidR="00B1507A" w:rsidRPr="00151FBD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07A" w:rsidRPr="001216CB" w14:paraId="6E1C7E75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5E5F4555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07F3C1DF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2D614262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DBD00D9" w14:textId="77777777" w:rsidR="00B66AFE" w:rsidRDefault="00B66AFE" w:rsidP="00B66A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06D671DB" w14:textId="77777777" w:rsidR="00B66AFE" w:rsidRDefault="00B66AFE" w:rsidP="00B66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34A898F6" w14:textId="6DC3C17A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01A30D45" w14:textId="77777777" w:rsidR="00F531BF" w:rsidRDefault="00041B1C" w:rsidP="00F531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1—Read CH 5 &amp; 6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</w:p>
          <w:p w14:paraId="5A0D75A9" w14:textId="606CAB62" w:rsidR="00041B1C" w:rsidRPr="00041B1C" w:rsidRDefault="00041B1C" w:rsidP="00F531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2—Complete reading quizzes for Ch 5 &amp; Ch 6</w:t>
            </w:r>
          </w:p>
        </w:tc>
        <w:tc>
          <w:tcPr>
            <w:tcW w:w="2250" w:type="dxa"/>
          </w:tcPr>
          <w:p w14:paraId="2441D28A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D10FB6B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0A90479C" w14:textId="199694F7" w:rsidR="00B1507A" w:rsidRDefault="00041B1C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153D1B50" w14:textId="02E7A1F8" w:rsidR="00041B1C" w:rsidRPr="001216CB" w:rsidRDefault="00041B1C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430" w:type="dxa"/>
          </w:tcPr>
          <w:p w14:paraId="644D7E56" w14:textId="6AE2CA2C" w:rsidR="00BE00BC" w:rsidRPr="00BE00BC" w:rsidRDefault="00CD433D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0BF4A4E1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365F3FA" w14:textId="4BA528D8" w:rsidR="00B1507A" w:rsidRPr="001216CB" w:rsidRDefault="00041B1C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394D860D" w14:textId="77777777" w:rsidR="00B1507A" w:rsidRPr="00151FBD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07A" w:rsidRPr="001216CB" w14:paraId="1A8597A1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562C3142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786A9A66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A1CE161" w14:textId="27958065" w:rsidR="00B1507A" w:rsidRPr="001216CB" w:rsidRDefault="00CD433D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Field Day</w:t>
            </w:r>
          </w:p>
        </w:tc>
        <w:tc>
          <w:tcPr>
            <w:tcW w:w="2467" w:type="dxa"/>
          </w:tcPr>
          <w:p w14:paraId="5AACF170" w14:textId="004A24D3" w:rsidR="00716979" w:rsidRPr="00716979" w:rsidRDefault="00716979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FA4BA6F" w14:textId="467449BC" w:rsidR="00B1507A" w:rsidRPr="00E17226" w:rsidRDefault="00B1507A" w:rsidP="007169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2D910180" w14:textId="4A6326FC" w:rsidR="00B1507A" w:rsidRPr="006749C5" w:rsidRDefault="00B1507A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4B07C654" w14:textId="4647C526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04506028" w14:textId="77777777" w:rsidR="00B1507A" w:rsidRPr="005B3952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00BC" w:rsidRPr="001216CB" w14:paraId="676E6940" w14:textId="77777777" w:rsidTr="00FF7EC1">
        <w:tc>
          <w:tcPr>
            <w:tcW w:w="490" w:type="dxa"/>
            <w:shd w:val="pct15" w:color="auto" w:fill="auto"/>
          </w:tcPr>
          <w:p w14:paraId="1216BEB4" w14:textId="77777777" w:rsidR="00BE00BC" w:rsidRPr="001216CB" w:rsidRDefault="00BE00BC" w:rsidP="00BE00B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lastRenderedPageBreak/>
              <w:t xml:space="preserve"> F</w:t>
            </w:r>
          </w:p>
          <w:p w14:paraId="0D9EB03F" w14:textId="77777777" w:rsidR="00BE00BC" w:rsidRPr="001216CB" w:rsidRDefault="00BE00BC" w:rsidP="00BE00B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1BDC24D9" w14:textId="77777777" w:rsidR="00BE00BC" w:rsidRPr="001216CB" w:rsidRDefault="00BE00BC" w:rsidP="00BE00B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677E6901" w14:textId="77777777" w:rsidR="00BE00BC" w:rsidRPr="001216CB" w:rsidRDefault="00BE00BC" w:rsidP="00BE00B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778F32D6" w14:textId="02D44F02" w:rsidR="00BE00BC" w:rsidRPr="00EF30DC" w:rsidRDefault="00935526" w:rsidP="00BE00B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NO SCHOOL </w:t>
            </w:r>
            <w:r w:rsidRPr="00935526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  <w:sz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467" w:type="dxa"/>
          </w:tcPr>
          <w:p w14:paraId="73269A84" w14:textId="1483F513" w:rsidR="00716979" w:rsidRPr="00716979" w:rsidRDefault="00716979" w:rsidP="00F531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6E0B99B" w14:textId="77777777" w:rsidR="00BE00BC" w:rsidRPr="00023E3F" w:rsidRDefault="00BE00BC" w:rsidP="00BE00B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263D74D5" w14:textId="084BCC29" w:rsidR="00BE00BC" w:rsidRPr="006749C5" w:rsidRDefault="00BE00BC" w:rsidP="00BE00B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0EAEEFB6" w14:textId="2906E354" w:rsidR="00BE00BC" w:rsidRPr="001216CB" w:rsidRDefault="00BE00BC" w:rsidP="00BE00B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682ED356" w14:textId="77777777" w:rsidR="00BE00BC" w:rsidRPr="00151FBD" w:rsidRDefault="00BE00BC" w:rsidP="00BE00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C8A261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590A2CD1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76663600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86001">
    <w:abstractNumId w:val="3"/>
  </w:num>
  <w:num w:numId="2" w16cid:durableId="209418057">
    <w:abstractNumId w:val="0"/>
  </w:num>
  <w:num w:numId="3" w16cid:durableId="1998874178">
    <w:abstractNumId w:val="2"/>
  </w:num>
  <w:num w:numId="4" w16cid:durableId="50254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41B1C"/>
    <w:rsid w:val="00061846"/>
    <w:rsid w:val="000735E7"/>
    <w:rsid w:val="00125C6F"/>
    <w:rsid w:val="00136E1F"/>
    <w:rsid w:val="001541B8"/>
    <w:rsid w:val="00172A7B"/>
    <w:rsid w:val="001A0286"/>
    <w:rsid w:val="001A0FE3"/>
    <w:rsid w:val="002277DC"/>
    <w:rsid w:val="002316E4"/>
    <w:rsid w:val="0028783D"/>
    <w:rsid w:val="00325153"/>
    <w:rsid w:val="00353ABD"/>
    <w:rsid w:val="00392ABC"/>
    <w:rsid w:val="003B3275"/>
    <w:rsid w:val="0040565C"/>
    <w:rsid w:val="00412DCF"/>
    <w:rsid w:val="00426C75"/>
    <w:rsid w:val="0043053C"/>
    <w:rsid w:val="00432C7F"/>
    <w:rsid w:val="00446587"/>
    <w:rsid w:val="0044775E"/>
    <w:rsid w:val="004573C0"/>
    <w:rsid w:val="004B5523"/>
    <w:rsid w:val="004B6A05"/>
    <w:rsid w:val="0053486A"/>
    <w:rsid w:val="00570CF0"/>
    <w:rsid w:val="005B3952"/>
    <w:rsid w:val="00621228"/>
    <w:rsid w:val="00630382"/>
    <w:rsid w:val="0064664E"/>
    <w:rsid w:val="006749C5"/>
    <w:rsid w:val="006769FB"/>
    <w:rsid w:val="006A2297"/>
    <w:rsid w:val="006A73D9"/>
    <w:rsid w:val="006B0711"/>
    <w:rsid w:val="006C02C6"/>
    <w:rsid w:val="00716979"/>
    <w:rsid w:val="00744B83"/>
    <w:rsid w:val="00744EE8"/>
    <w:rsid w:val="007452BD"/>
    <w:rsid w:val="007521D0"/>
    <w:rsid w:val="007F138C"/>
    <w:rsid w:val="00810DD4"/>
    <w:rsid w:val="0081227F"/>
    <w:rsid w:val="00854231"/>
    <w:rsid w:val="008949AA"/>
    <w:rsid w:val="008C3D11"/>
    <w:rsid w:val="00924EB8"/>
    <w:rsid w:val="00935526"/>
    <w:rsid w:val="00953F31"/>
    <w:rsid w:val="00957130"/>
    <w:rsid w:val="00967249"/>
    <w:rsid w:val="009C08CA"/>
    <w:rsid w:val="00A232BF"/>
    <w:rsid w:val="00A43675"/>
    <w:rsid w:val="00A45C8E"/>
    <w:rsid w:val="00A74CE7"/>
    <w:rsid w:val="00A952E5"/>
    <w:rsid w:val="00AA2814"/>
    <w:rsid w:val="00AA6985"/>
    <w:rsid w:val="00AD75B6"/>
    <w:rsid w:val="00AE38AF"/>
    <w:rsid w:val="00AE55CA"/>
    <w:rsid w:val="00B02868"/>
    <w:rsid w:val="00B1507A"/>
    <w:rsid w:val="00B61136"/>
    <w:rsid w:val="00B65CDF"/>
    <w:rsid w:val="00B66AFE"/>
    <w:rsid w:val="00B745F8"/>
    <w:rsid w:val="00BE00BC"/>
    <w:rsid w:val="00BE4632"/>
    <w:rsid w:val="00C222FF"/>
    <w:rsid w:val="00C51133"/>
    <w:rsid w:val="00C55E7F"/>
    <w:rsid w:val="00C56AEA"/>
    <w:rsid w:val="00C74030"/>
    <w:rsid w:val="00C97E72"/>
    <w:rsid w:val="00CD02DF"/>
    <w:rsid w:val="00CD433D"/>
    <w:rsid w:val="00CF09F3"/>
    <w:rsid w:val="00CF23F4"/>
    <w:rsid w:val="00D8143E"/>
    <w:rsid w:val="00D86C9A"/>
    <w:rsid w:val="00DE6CCC"/>
    <w:rsid w:val="00E17226"/>
    <w:rsid w:val="00E3387F"/>
    <w:rsid w:val="00E76D6A"/>
    <w:rsid w:val="00E96F0A"/>
    <w:rsid w:val="00EA3BF7"/>
    <w:rsid w:val="00EE5665"/>
    <w:rsid w:val="00EE594D"/>
    <w:rsid w:val="00EF30DC"/>
    <w:rsid w:val="00F531BF"/>
    <w:rsid w:val="00F86597"/>
    <w:rsid w:val="00FC3A16"/>
    <w:rsid w:val="00FE0873"/>
    <w:rsid w:val="00FF7736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A8F4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2025-04-15T00:01:00Z</dcterms:created>
  <dcterms:modified xsi:type="dcterms:W3CDTF">2025-04-15T00:01:00Z</dcterms:modified>
</cp:coreProperties>
</file>