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JOHN HAY  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423-586-1080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Jardín de infancia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Lista de suministros 2023-2024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Mochila (Tamaño normal, sin ruedas, sin cordones, sin tipo maleta)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2 paquetes de 8 unidades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Crayones retorcidos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(sin crayones gigantes)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 caja de lápices Ticonderoga n.º 2 de tamaño estándar (no lápices jumbo)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 tijera Fiskars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8 barras de pegamento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punta fina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EXPO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marcadores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2 estuches para lápices (material similar al lienzo con ojales para guardar en la carpeta)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2 cajas de Kleenex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 carpeta de 1’’ con bolsillos en el interior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 paquete de 5 separadores de libreta con bolsillos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411.4285714285714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 paquete de protectores de página (¡los trabajos pesados ​​aguantan mejor!)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1 par de auriculares pequeños (sin auriculares)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411.4285714285714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bolsas ziplock de un galón (marca genérica siempre que tenga cierre)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bolsas ziplock con cremallera de un cuarto de galón (marca genérica siempre que tenga cremallera)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1 botella de agua Flip Top que su hijo puede operar y rellenar de forma independiente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2-3 toallitas Clorox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