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6th/ELA    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5/12-5/16/2025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824.94140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AL.6.27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AL.6.1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RL.6.1. 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RL.6.2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RL.6.3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36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RL.6.1.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RL.6.2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RL.6.1. 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RL.6.2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RL.6.3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RL.6.1. 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RL.6.2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420" w:line="240" w:lineRule="auto"/>
              <w:rPr>
                <w:rFonts w:ascii="Arial" w:cs="Arial" w:eastAsia="Arial" w:hAnsi="Arial"/>
                <w:color w:val="32353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2353e"/>
                <w:sz w:val="24"/>
                <w:szCs w:val="24"/>
                <w:rtl w:val="0"/>
              </w:rPr>
              <w:t xml:space="preserve">RL.6.3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using my knowledge.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questions.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about technical language used in a passage.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comprehension questions.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about technical language used in a passage.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comprehension questions.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about technical language used in a passage.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comprehension questions.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about technical language used in a passage.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different strategies to answer comprehension questions.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Going over directions for Checkpoint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Checkpoint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IXL 7th grade skills in ELA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Technical Language Bellringer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Reading Comprehension Task Cards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IXL 7th grade skills in ELA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Technical Language Bellringer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Reading Comprehension Task Cards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IXL 7th grade skills in ELA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Technical Language Bellringer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Reading Comprehension Task Cards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IXL 7th grade skills in ELA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Technical Language Bellringer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Reading Comprehension Task Cards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IXL 7th grade skills in ELA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 1 and 2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 1, 2, 3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 1 and 2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 1, 2, 3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 1 and 2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 1, 2, 3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 1 and 2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 1, 2, 3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1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 1 and 2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 1, 2, 3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https://www.teacherspayteachers.com/Product/Short-Story-Reading-Comprehension-Passages-Task-Cards-6th-7th-8th-Grade-ELA-3597226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https://www.teacherspayteachers.com/Product/Short-Story-Reading-Comprehension-Passages-Task-Cards-6th-7th-8th-Grade-ELA-3597226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https://www.teacherspayteachers.com/Product/Short-Story-Reading-Comprehension-Passages-Task-Cards-6th-7th-8th-Grade-ELA-3597226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https://www.teacherspayteachers.com/Product/Short-Story-Reading-Comprehension-Passages-Task-Cards-6th-7th-8th-Grade-ELA-3597226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https://www.teacherspayteachers.com/Product/Short-Story-Reading-Comprehension-Passages-Task-Cards-6th-7th-8th-Grade-ELA-3597226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teacherspayteachers.com/Product/Short-Story-Reading-Comprehension-Passages-Task-Cards-6th-7th-8th-Grade-ELA-3597226" TargetMode="External"/><Relationship Id="rId9" Type="http://schemas.openxmlformats.org/officeDocument/2006/relationships/hyperlink" Target="https://www.teacherspayteachers.com/Product/Short-Story-Reading-Comprehension-Passages-Task-Cards-6th-7th-8th-Grade-ELA-359722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Short-Story-Reading-Comprehension-Passages-Task-Cards-6th-7th-8th-Grade-ELA-3597226" TargetMode="External"/><Relationship Id="rId7" Type="http://schemas.openxmlformats.org/officeDocument/2006/relationships/hyperlink" Target="https://www.teacherspayteachers.com/Product/Short-Story-Reading-Comprehension-Passages-Task-Cards-6th-7th-8th-Grade-ELA-3597226" TargetMode="External"/><Relationship Id="rId8" Type="http://schemas.openxmlformats.org/officeDocument/2006/relationships/hyperlink" Target="https://www.teacherspayteachers.com/Product/Short-Story-Reading-Comprehension-Passages-Task-Cards-6th-7th-8th-Grade-ELA-35972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