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C8" w:rsidRPr="00D907A2" w:rsidRDefault="005422C8" w:rsidP="000B0139">
      <w:pPr>
        <w:pStyle w:val="Title"/>
        <w:ind w:firstLine="720"/>
        <w:jc w:val="left"/>
        <w:rPr>
          <w:sz w:val="36"/>
          <w:szCs w:val="36"/>
        </w:rPr>
      </w:pPr>
      <w:r w:rsidRPr="00D907A2">
        <w:rPr>
          <w:sz w:val="36"/>
          <w:szCs w:val="36"/>
        </w:rPr>
        <w:t xml:space="preserve">Physical Science: </w:t>
      </w:r>
      <w:r w:rsidR="00350C87">
        <w:rPr>
          <w:sz w:val="36"/>
          <w:szCs w:val="36"/>
        </w:rPr>
        <w:t>2022-23 school year</w:t>
      </w:r>
      <w:r w:rsidR="005D4464">
        <w:rPr>
          <w:sz w:val="36"/>
          <w:szCs w:val="36"/>
        </w:rPr>
        <w:t xml:space="preserve">  </w:t>
      </w:r>
      <w:r w:rsidR="00A86A3C">
        <w:rPr>
          <w:sz w:val="36"/>
          <w:szCs w:val="36"/>
        </w:rPr>
        <w:t xml:space="preserve">  </w:t>
      </w:r>
      <w:r w:rsidR="000B0139">
        <w:rPr>
          <w:sz w:val="36"/>
          <w:szCs w:val="36"/>
        </w:rPr>
        <w:t xml:space="preserve">          </w:t>
      </w:r>
      <w:r w:rsidR="005D4464">
        <w:rPr>
          <w:sz w:val="36"/>
          <w:szCs w:val="36"/>
        </w:rPr>
        <w:t>Chrystal Vining</w:t>
      </w:r>
      <w:r w:rsidR="000B0139">
        <w:rPr>
          <w:sz w:val="36"/>
          <w:szCs w:val="36"/>
        </w:rPr>
        <w:t xml:space="preserve"> </w:t>
      </w:r>
      <w:r w:rsidR="00A86A3C">
        <w:rPr>
          <w:sz w:val="36"/>
          <w:szCs w:val="36"/>
        </w:rPr>
        <w:t xml:space="preserve">        </w:t>
      </w:r>
      <w:r w:rsidR="005D4464">
        <w:rPr>
          <w:sz w:val="36"/>
          <w:szCs w:val="36"/>
        </w:rPr>
        <w:t xml:space="preserve"> </w:t>
      </w:r>
    </w:p>
    <w:p w:rsidR="005422C8" w:rsidRPr="00C57897" w:rsidRDefault="005422C8" w:rsidP="00C57897">
      <w:pPr>
        <w:pStyle w:val="Subtitle"/>
        <w:rPr>
          <w:rFonts w:ascii="Arial" w:hAnsi="Arial" w:cs="Arial"/>
          <w:b/>
          <w:sz w:val="22"/>
          <w:szCs w:val="22"/>
        </w:rPr>
      </w:pPr>
      <w:r w:rsidRPr="00C57897">
        <w:rPr>
          <w:rFonts w:ascii="Arial" w:hAnsi="Arial" w:cs="Arial"/>
          <w:b/>
          <w:sz w:val="22"/>
          <w:szCs w:val="22"/>
        </w:rPr>
        <w:t>Course Overview</w:t>
      </w:r>
    </w:p>
    <w:p w:rsidR="005422C8" w:rsidRPr="00C57897" w:rsidRDefault="005422C8">
      <w:pPr>
        <w:tabs>
          <w:tab w:val="left" w:pos="3150"/>
        </w:tabs>
        <w:rPr>
          <w:rFonts w:ascii="Arial" w:hAnsi="Arial" w:cs="Arial"/>
          <w:sz w:val="22"/>
          <w:szCs w:val="22"/>
        </w:rPr>
      </w:pPr>
      <w:r w:rsidRPr="00C57897">
        <w:rPr>
          <w:rFonts w:ascii="Arial" w:hAnsi="Arial" w:cs="Arial"/>
          <w:sz w:val="22"/>
          <w:szCs w:val="22"/>
        </w:rPr>
        <w:t>This course is an introductory level laboratory course covering both chemistry and physics fundamentals, designed for 9</w:t>
      </w:r>
      <w:r w:rsidRPr="00C57897">
        <w:rPr>
          <w:rFonts w:ascii="Arial" w:hAnsi="Arial" w:cs="Arial"/>
          <w:sz w:val="22"/>
          <w:szCs w:val="22"/>
          <w:vertAlign w:val="superscript"/>
        </w:rPr>
        <w:t>th</w:t>
      </w:r>
      <w:r w:rsidRPr="00C57897">
        <w:rPr>
          <w:rFonts w:ascii="Arial" w:hAnsi="Arial" w:cs="Arial"/>
          <w:sz w:val="22"/>
          <w:szCs w:val="22"/>
        </w:rPr>
        <w:t xml:space="preserve"> grade students.  Science develops thinking, problem-solving, and lifelong learning skills—and it’s FUN, too!! </w:t>
      </w:r>
      <w:r w:rsidR="00C57897" w:rsidRPr="00C57897">
        <w:rPr>
          <w:rFonts w:ascii="Arial" w:hAnsi="Arial" w:cs="Arial"/>
          <w:sz w:val="22"/>
          <w:szCs w:val="22"/>
        </w:rPr>
        <w:t xml:space="preserve">Although I strive to make this class as enjoyable as possible, I take my job as an educator very seriously.  It is my intent to teach students about a subject that I love.  </w:t>
      </w:r>
      <w:r w:rsidRPr="00C57897">
        <w:rPr>
          <w:rFonts w:ascii="Arial" w:hAnsi="Arial" w:cs="Arial"/>
          <w:sz w:val="22"/>
          <w:szCs w:val="22"/>
        </w:rPr>
        <w:t>A variety of methods will be employed to achieve course objectives: problem solving</w:t>
      </w:r>
      <w:r w:rsidR="00D42B78" w:rsidRPr="00C57897">
        <w:rPr>
          <w:rFonts w:ascii="Arial" w:hAnsi="Arial" w:cs="Arial"/>
          <w:sz w:val="22"/>
          <w:szCs w:val="22"/>
        </w:rPr>
        <w:t xml:space="preserve"> activities</w:t>
      </w:r>
      <w:r w:rsidRPr="00C57897">
        <w:rPr>
          <w:rFonts w:ascii="Arial" w:hAnsi="Arial" w:cs="Arial"/>
          <w:sz w:val="22"/>
          <w:szCs w:val="22"/>
        </w:rPr>
        <w:t>, laboratory work, both collaborative and independent projects</w:t>
      </w:r>
      <w:r w:rsidR="00D42B78" w:rsidRPr="00C57897">
        <w:rPr>
          <w:rFonts w:ascii="Arial" w:hAnsi="Arial" w:cs="Arial"/>
          <w:sz w:val="22"/>
          <w:szCs w:val="22"/>
        </w:rPr>
        <w:t>, and real world applications.</w:t>
      </w:r>
      <w:r w:rsidRPr="00C57897">
        <w:rPr>
          <w:rFonts w:ascii="Arial" w:hAnsi="Arial" w:cs="Arial"/>
          <w:sz w:val="22"/>
          <w:szCs w:val="22"/>
        </w:rPr>
        <w:t xml:space="preserve"> Critical thinking and reasoning skills will be emphasized strongly over memorization. The Georgia Performance Standards (GPS) for this class are available at </w:t>
      </w:r>
      <w:hyperlink r:id="rId7" w:history="1">
        <w:r w:rsidRPr="00C57897">
          <w:rPr>
            <w:rStyle w:val="Hyperlink"/>
            <w:rFonts w:ascii="Arial" w:hAnsi="Arial" w:cs="Arial"/>
            <w:sz w:val="22"/>
            <w:szCs w:val="22"/>
          </w:rPr>
          <w:t>http://www.georgiastandards.org/science.asp</w:t>
        </w:r>
      </w:hyperlink>
      <w:r w:rsidRPr="00C57897">
        <w:rPr>
          <w:rFonts w:ascii="Arial" w:hAnsi="Arial" w:cs="Arial"/>
          <w:sz w:val="22"/>
          <w:szCs w:val="22"/>
        </w:rPr>
        <w:t xml:space="preserve"> by choosing High School and Physical Science from the list provided.  </w:t>
      </w:r>
      <w:r w:rsidR="00C57897" w:rsidRPr="00C57897">
        <w:rPr>
          <w:rFonts w:ascii="Arial" w:hAnsi="Arial" w:cs="Arial"/>
          <w:sz w:val="22"/>
          <w:szCs w:val="22"/>
        </w:rPr>
        <w:t xml:space="preserve">All of the activities and assignments are aligned to these standards. I am a very demanding and structured teacher.   </w:t>
      </w:r>
    </w:p>
    <w:p w:rsidR="00867EE4" w:rsidRPr="00C57897" w:rsidRDefault="00867EE4">
      <w:pPr>
        <w:rPr>
          <w:rFonts w:ascii="Arial" w:hAnsi="Arial" w:cs="Arial"/>
          <w:b/>
          <w:bCs/>
          <w:sz w:val="22"/>
          <w:szCs w:val="22"/>
        </w:rPr>
      </w:pPr>
    </w:p>
    <w:p w:rsidR="005422C8" w:rsidRPr="00C57897" w:rsidRDefault="005422C8" w:rsidP="00C57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7897">
        <w:rPr>
          <w:rFonts w:ascii="Arial" w:hAnsi="Arial" w:cs="Arial"/>
          <w:b/>
          <w:bCs/>
          <w:sz w:val="22"/>
          <w:szCs w:val="22"/>
        </w:rPr>
        <w:t>Objectives</w:t>
      </w:r>
    </w:p>
    <w:p w:rsidR="005422C8" w:rsidRPr="00C57897" w:rsidRDefault="005422C8" w:rsidP="00867EE4">
      <w:pPr>
        <w:rPr>
          <w:rFonts w:ascii="Arial" w:hAnsi="Arial" w:cs="Arial"/>
          <w:sz w:val="22"/>
          <w:szCs w:val="22"/>
        </w:rPr>
      </w:pPr>
      <w:r w:rsidRPr="00C57897">
        <w:rPr>
          <w:rFonts w:ascii="Arial" w:hAnsi="Arial" w:cs="Arial"/>
          <w:sz w:val="22"/>
          <w:szCs w:val="22"/>
        </w:rPr>
        <w:t>The class will cover physical science content as specified by the Georgia Performance Standards (GPS). The student will:</w:t>
      </w:r>
      <w:r w:rsidR="00867EE4" w:rsidRPr="00C57897">
        <w:rPr>
          <w:rFonts w:ascii="Arial" w:hAnsi="Arial" w:cs="Arial"/>
          <w:sz w:val="22"/>
          <w:szCs w:val="22"/>
        </w:rPr>
        <w:t xml:space="preserve">  </w:t>
      </w:r>
      <w:r w:rsidRPr="00C57897">
        <w:rPr>
          <w:rFonts w:ascii="Arial" w:hAnsi="Arial" w:cs="Arial"/>
          <w:sz w:val="22"/>
          <w:szCs w:val="22"/>
        </w:rPr>
        <w:t>Explore the organization, structure, and dynamics of matter (the chemistry portion) and energy systems and their dynamics (the physics portion).</w:t>
      </w:r>
    </w:p>
    <w:p w:rsidR="00867EE4" w:rsidRPr="00C57897" w:rsidRDefault="00867EE4">
      <w:pPr>
        <w:pStyle w:val="Heading2"/>
        <w:rPr>
          <w:sz w:val="22"/>
          <w:szCs w:val="22"/>
        </w:rPr>
      </w:pPr>
    </w:p>
    <w:p w:rsidR="005422C8" w:rsidRPr="00C57897" w:rsidRDefault="00350C87" w:rsidP="00350C87">
      <w:pPr>
        <w:pStyle w:val="Heading2"/>
        <w:jc w:val="center"/>
        <w:rPr>
          <w:sz w:val="22"/>
          <w:szCs w:val="22"/>
        </w:rPr>
      </w:pPr>
      <w:r>
        <w:rPr>
          <w:sz w:val="22"/>
          <w:szCs w:val="22"/>
        </w:rPr>
        <w:t>Contact</w:t>
      </w:r>
    </w:p>
    <w:p w:rsidR="005422C8" w:rsidRPr="00C57897" w:rsidRDefault="00364F73">
      <w:pPr>
        <w:pStyle w:val="Heading2"/>
        <w:rPr>
          <w:b w:val="0"/>
          <w:sz w:val="22"/>
          <w:szCs w:val="22"/>
        </w:rPr>
      </w:pPr>
      <w:r w:rsidRPr="00C57897">
        <w:rPr>
          <w:b w:val="0"/>
          <w:sz w:val="22"/>
          <w:szCs w:val="22"/>
        </w:rPr>
        <w:t>I can be reached by email at</w:t>
      </w:r>
      <w:r w:rsidR="00102121" w:rsidRPr="00C57897">
        <w:rPr>
          <w:b w:val="0"/>
          <w:sz w:val="22"/>
          <w:szCs w:val="22"/>
        </w:rPr>
        <w:t xml:space="preserve"> </w:t>
      </w:r>
      <w:hyperlink r:id="rId8" w:history="1">
        <w:r w:rsidR="00350C87" w:rsidRPr="00B345C8">
          <w:rPr>
            <w:rStyle w:val="Hyperlink"/>
            <w:b w:val="0"/>
            <w:sz w:val="22"/>
            <w:szCs w:val="22"/>
          </w:rPr>
          <w:t>chrystalvining@atkinson.k12.ga.us</w:t>
        </w:r>
      </w:hyperlink>
      <w:r w:rsidR="00C964BC" w:rsidRPr="00C57897">
        <w:rPr>
          <w:b w:val="0"/>
          <w:sz w:val="22"/>
          <w:szCs w:val="22"/>
        </w:rPr>
        <w:t xml:space="preserve"> </w:t>
      </w:r>
      <w:r w:rsidR="007D5C3F" w:rsidRPr="00C57897">
        <w:rPr>
          <w:b w:val="0"/>
          <w:sz w:val="22"/>
          <w:szCs w:val="22"/>
        </w:rPr>
        <w:t xml:space="preserve">or through the school system phone </w:t>
      </w:r>
      <w:r w:rsidRPr="00C57897">
        <w:rPr>
          <w:b w:val="0"/>
          <w:sz w:val="22"/>
          <w:szCs w:val="22"/>
        </w:rPr>
        <w:t>if you have questions or concerns</w:t>
      </w:r>
      <w:r w:rsidR="00102121" w:rsidRPr="00C57897">
        <w:rPr>
          <w:b w:val="0"/>
          <w:sz w:val="22"/>
          <w:szCs w:val="22"/>
        </w:rPr>
        <w:t>.</w:t>
      </w:r>
      <w:r w:rsidR="00867EE4" w:rsidRPr="00C57897">
        <w:rPr>
          <w:b w:val="0"/>
          <w:sz w:val="22"/>
          <w:szCs w:val="22"/>
        </w:rPr>
        <w:t xml:space="preserve"> </w:t>
      </w:r>
      <w:r w:rsidR="00350C87">
        <w:rPr>
          <w:b w:val="0"/>
          <w:sz w:val="22"/>
          <w:szCs w:val="22"/>
        </w:rPr>
        <w:t xml:space="preserve">This email goes to my phone and I will try to respond as quickly as possible.  This is the best way to get to me. </w:t>
      </w:r>
    </w:p>
    <w:p w:rsidR="00364F73" w:rsidRPr="00C57897" w:rsidRDefault="00350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9" style="position:absolute;z-index:251657728" from="12.2pt,12.8pt" to="514.5pt,12.8pt"/>
        </w:pict>
      </w:r>
    </w:p>
    <w:p w:rsidR="00867EE4" w:rsidRPr="00C57897" w:rsidRDefault="00867EE4" w:rsidP="00C57897">
      <w:pPr>
        <w:jc w:val="center"/>
        <w:rPr>
          <w:rFonts w:ascii="Arial" w:hAnsi="Arial" w:cs="Arial"/>
          <w:b/>
          <w:sz w:val="22"/>
          <w:szCs w:val="22"/>
        </w:rPr>
      </w:pPr>
      <w:r w:rsidRPr="00C57897">
        <w:rPr>
          <w:rFonts w:ascii="Arial" w:hAnsi="Arial" w:cs="Arial"/>
          <w:b/>
          <w:sz w:val="22"/>
          <w:szCs w:val="22"/>
        </w:rPr>
        <w:t>Supplies</w:t>
      </w:r>
    </w:p>
    <w:p w:rsidR="005422C8" w:rsidRPr="00C57897" w:rsidRDefault="005422C8" w:rsidP="00867EE4">
      <w:pPr>
        <w:rPr>
          <w:rFonts w:ascii="Arial" w:hAnsi="Arial" w:cs="Arial"/>
          <w:sz w:val="22"/>
          <w:szCs w:val="22"/>
        </w:rPr>
      </w:pPr>
      <w:r w:rsidRPr="00C57897">
        <w:rPr>
          <w:rFonts w:ascii="Arial" w:hAnsi="Arial" w:cs="Arial"/>
          <w:sz w:val="22"/>
          <w:szCs w:val="22"/>
        </w:rPr>
        <w:t>Students need to supply</w:t>
      </w:r>
      <w:r w:rsidR="00867EE4" w:rsidRPr="00C57897">
        <w:rPr>
          <w:rFonts w:ascii="Arial" w:hAnsi="Arial" w:cs="Arial"/>
          <w:sz w:val="22"/>
          <w:szCs w:val="22"/>
        </w:rPr>
        <w:t>,</w:t>
      </w:r>
      <w:r w:rsidRPr="00C57897">
        <w:rPr>
          <w:rFonts w:ascii="Arial" w:hAnsi="Arial" w:cs="Arial"/>
          <w:sz w:val="22"/>
          <w:szCs w:val="22"/>
        </w:rPr>
        <w:t xml:space="preserve"> and bring to class</w:t>
      </w:r>
      <w:r w:rsidR="00867EE4" w:rsidRPr="00C57897">
        <w:rPr>
          <w:rFonts w:ascii="Arial" w:hAnsi="Arial" w:cs="Arial"/>
          <w:sz w:val="22"/>
          <w:szCs w:val="22"/>
        </w:rPr>
        <w:t>,</w:t>
      </w:r>
      <w:r w:rsidRPr="00C57897">
        <w:rPr>
          <w:rFonts w:ascii="Arial" w:hAnsi="Arial" w:cs="Arial"/>
          <w:sz w:val="22"/>
          <w:szCs w:val="22"/>
        </w:rPr>
        <w:t xml:space="preserve"> </w:t>
      </w:r>
      <w:r w:rsidRPr="00C57897">
        <w:rPr>
          <w:rFonts w:ascii="Arial" w:hAnsi="Arial" w:cs="Arial"/>
          <w:b/>
          <w:sz w:val="22"/>
          <w:szCs w:val="22"/>
        </w:rPr>
        <w:t>daily</w:t>
      </w:r>
      <w:r w:rsidRPr="00C57897">
        <w:rPr>
          <w:rFonts w:ascii="Arial" w:hAnsi="Arial" w:cs="Arial"/>
          <w:sz w:val="22"/>
          <w:szCs w:val="22"/>
        </w:rPr>
        <w:t>:</w:t>
      </w:r>
      <w:r w:rsidR="00867EE4" w:rsidRPr="00C57897">
        <w:rPr>
          <w:rFonts w:ascii="Arial" w:hAnsi="Arial" w:cs="Arial"/>
          <w:sz w:val="22"/>
          <w:szCs w:val="22"/>
        </w:rPr>
        <w:t xml:space="preserve">  </w:t>
      </w:r>
      <w:r w:rsidRPr="00C57897">
        <w:rPr>
          <w:rFonts w:ascii="Arial" w:hAnsi="Arial" w:cs="Arial"/>
          <w:sz w:val="22"/>
          <w:szCs w:val="22"/>
        </w:rPr>
        <w:t xml:space="preserve">3-ring binder </w:t>
      </w:r>
      <w:r w:rsidR="00C57897" w:rsidRPr="00C57897">
        <w:rPr>
          <w:rFonts w:ascii="Arial" w:hAnsi="Arial" w:cs="Arial"/>
          <w:sz w:val="22"/>
          <w:szCs w:val="22"/>
        </w:rPr>
        <w:t xml:space="preserve">or composition book </w:t>
      </w:r>
      <w:r w:rsidRPr="00C57897">
        <w:rPr>
          <w:rFonts w:ascii="Arial" w:hAnsi="Arial" w:cs="Arial"/>
          <w:sz w:val="22"/>
          <w:szCs w:val="22"/>
        </w:rPr>
        <w:t xml:space="preserve">with PLENTY of notebook </w:t>
      </w:r>
      <w:r w:rsidRPr="00C57897">
        <w:rPr>
          <w:rFonts w:ascii="Arial" w:hAnsi="Arial" w:cs="Arial"/>
          <w:b/>
          <w:sz w:val="22"/>
          <w:szCs w:val="22"/>
        </w:rPr>
        <w:t>paper</w:t>
      </w:r>
      <w:r w:rsidR="00867EE4" w:rsidRPr="00C57897">
        <w:rPr>
          <w:rFonts w:ascii="Arial" w:hAnsi="Arial" w:cs="Arial"/>
          <w:b/>
          <w:sz w:val="22"/>
          <w:szCs w:val="22"/>
        </w:rPr>
        <w:t xml:space="preserve">, </w:t>
      </w:r>
      <w:r w:rsidR="00867EE4" w:rsidRPr="00C57897">
        <w:rPr>
          <w:rFonts w:ascii="Arial" w:hAnsi="Arial" w:cs="Arial"/>
          <w:sz w:val="22"/>
          <w:szCs w:val="22"/>
        </w:rPr>
        <w:t>b</w:t>
      </w:r>
      <w:r w:rsidRPr="00C57897">
        <w:rPr>
          <w:rFonts w:ascii="Arial" w:hAnsi="Arial" w:cs="Arial"/>
          <w:sz w:val="22"/>
          <w:szCs w:val="22"/>
        </w:rPr>
        <w:t xml:space="preserve">lue or black ink pen AND a </w:t>
      </w:r>
      <w:r w:rsidRPr="00C57897">
        <w:rPr>
          <w:rFonts w:ascii="Arial" w:hAnsi="Arial" w:cs="Arial"/>
          <w:b/>
          <w:sz w:val="22"/>
          <w:szCs w:val="22"/>
        </w:rPr>
        <w:t>pencil</w:t>
      </w:r>
      <w:r w:rsidR="00867EE4" w:rsidRPr="00C57897">
        <w:rPr>
          <w:rFonts w:ascii="Arial" w:hAnsi="Arial" w:cs="Arial"/>
          <w:b/>
          <w:sz w:val="22"/>
          <w:szCs w:val="22"/>
        </w:rPr>
        <w:t>, c</w:t>
      </w:r>
      <w:r w:rsidRPr="00C57897">
        <w:rPr>
          <w:rFonts w:ascii="Arial" w:hAnsi="Arial" w:cs="Arial"/>
          <w:b/>
          <w:sz w:val="22"/>
          <w:szCs w:val="22"/>
        </w:rPr>
        <w:t>alculator</w:t>
      </w:r>
      <w:r w:rsidR="00E3750D" w:rsidRPr="00C57897">
        <w:rPr>
          <w:rFonts w:ascii="Arial" w:hAnsi="Arial" w:cs="Arial"/>
          <w:sz w:val="22"/>
          <w:szCs w:val="22"/>
        </w:rPr>
        <w:t xml:space="preserve"> capable of simple math functions</w:t>
      </w:r>
      <w:r w:rsidR="00C57897" w:rsidRPr="00C57897">
        <w:rPr>
          <w:rFonts w:ascii="Arial" w:hAnsi="Arial" w:cs="Arial"/>
          <w:sz w:val="22"/>
          <w:szCs w:val="22"/>
        </w:rPr>
        <w:t xml:space="preserve">.  Students should expect to write something in my class every day.  </w:t>
      </w:r>
    </w:p>
    <w:p w:rsidR="00867EE4" w:rsidRPr="00C57897" w:rsidRDefault="00867EE4">
      <w:pPr>
        <w:pStyle w:val="Heading2"/>
        <w:rPr>
          <w:sz w:val="22"/>
          <w:szCs w:val="22"/>
        </w:rPr>
      </w:pPr>
    </w:p>
    <w:p w:rsidR="005422C8" w:rsidRPr="00C57897" w:rsidRDefault="005422C8" w:rsidP="00C57897">
      <w:pPr>
        <w:pStyle w:val="Heading2"/>
        <w:jc w:val="center"/>
        <w:rPr>
          <w:sz w:val="22"/>
          <w:szCs w:val="22"/>
        </w:rPr>
      </w:pPr>
      <w:r w:rsidRPr="00C57897">
        <w:rPr>
          <w:sz w:val="22"/>
          <w:szCs w:val="22"/>
        </w:rPr>
        <w:t>Textbook</w:t>
      </w:r>
    </w:p>
    <w:p w:rsidR="003634ED" w:rsidRPr="00350C87" w:rsidRDefault="00D42B78" w:rsidP="003634ED">
      <w:pPr>
        <w:rPr>
          <w:rFonts w:ascii="Arial" w:hAnsi="Arial" w:cs="Arial"/>
          <w:b/>
          <w:sz w:val="22"/>
          <w:szCs w:val="22"/>
        </w:rPr>
      </w:pPr>
      <w:r w:rsidRPr="00C57897">
        <w:rPr>
          <w:rFonts w:ascii="Arial" w:hAnsi="Arial" w:cs="Arial"/>
          <w:sz w:val="22"/>
          <w:szCs w:val="22"/>
          <w:u w:val="single"/>
        </w:rPr>
        <w:t xml:space="preserve">Physical </w:t>
      </w:r>
      <w:r w:rsidR="00D472AD" w:rsidRPr="00C57897">
        <w:rPr>
          <w:rFonts w:ascii="Arial" w:hAnsi="Arial" w:cs="Arial"/>
          <w:sz w:val="22"/>
          <w:szCs w:val="22"/>
          <w:u w:val="single"/>
        </w:rPr>
        <w:t>Science</w:t>
      </w:r>
      <w:r w:rsidR="00D472AD" w:rsidRPr="00C57897">
        <w:rPr>
          <w:rFonts w:ascii="Arial" w:hAnsi="Arial" w:cs="Arial"/>
          <w:sz w:val="22"/>
          <w:szCs w:val="22"/>
        </w:rPr>
        <w:t xml:space="preserve"> - </w:t>
      </w:r>
      <w:r w:rsidR="00350C87">
        <w:rPr>
          <w:rFonts w:ascii="Arial" w:hAnsi="Arial" w:cs="Arial"/>
          <w:sz w:val="22"/>
          <w:szCs w:val="22"/>
        </w:rPr>
        <w:t>Pearson</w:t>
      </w:r>
      <w:r w:rsidRPr="00C57897">
        <w:rPr>
          <w:rFonts w:ascii="Arial" w:hAnsi="Arial" w:cs="Arial"/>
          <w:sz w:val="22"/>
          <w:szCs w:val="22"/>
        </w:rPr>
        <w:t xml:space="preserve"> 2008</w:t>
      </w:r>
      <w:r w:rsidR="005422C8" w:rsidRPr="00C57897">
        <w:rPr>
          <w:rFonts w:ascii="Arial" w:hAnsi="Arial" w:cs="Arial"/>
          <w:sz w:val="22"/>
          <w:szCs w:val="22"/>
        </w:rPr>
        <w:t xml:space="preserve">.  </w:t>
      </w:r>
      <w:r w:rsidR="003634ED" w:rsidRPr="00C57897">
        <w:rPr>
          <w:rFonts w:ascii="Arial" w:hAnsi="Arial" w:cs="Arial"/>
          <w:sz w:val="22"/>
          <w:szCs w:val="22"/>
        </w:rPr>
        <w:t>A textbook has been assigned to keep at home for studying and completing homework assignments.  It is expected that they not be written in or carelessly mishandled. Replacement cost is $67.50</w:t>
      </w:r>
      <w:r w:rsidR="00A86A3C" w:rsidRPr="00C57897">
        <w:rPr>
          <w:rFonts w:ascii="Arial" w:hAnsi="Arial" w:cs="Arial"/>
          <w:sz w:val="22"/>
          <w:szCs w:val="22"/>
        </w:rPr>
        <w:t xml:space="preserve">. </w:t>
      </w:r>
    </w:p>
    <w:p w:rsidR="00364F73" w:rsidRPr="00C57897" w:rsidRDefault="00364F73" w:rsidP="00C57897">
      <w:pPr>
        <w:jc w:val="center"/>
        <w:rPr>
          <w:rFonts w:ascii="Arial" w:hAnsi="Arial" w:cs="Arial"/>
          <w:b/>
          <w:sz w:val="22"/>
          <w:szCs w:val="22"/>
        </w:rPr>
      </w:pPr>
      <w:r w:rsidRPr="00C57897">
        <w:rPr>
          <w:rFonts w:ascii="Arial" w:hAnsi="Arial" w:cs="Arial"/>
          <w:b/>
          <w:sz w:val="22"/>
          <w:szCs w:val="22"/>
        </w:rPr>
        <w:t>Make-up Work</w:t>
      </w:r>
    </w:p>
    <w:p w:rsidR="00E3750D" w:rsidRPr="00C57897" w:rsidRDefault="00867EE4" w:rsidP="00867EE4">
      <w:pPr>
        <w:pStyle w:val="Heading2"/>
        <w:rPr>
          <w:b w:val="0"/>
          <w:sz w:val="22"/>
          <w:szCs w:val="22"/>
        </w:rPr>
      </w:pPr>
      <w:r w:rsidRPr="00C57897">
        <w:rPr>
          <w:b w:val="0"/>
          <w:sz w:val="22"/>
          <w:szCs w:val="22"/>
        </w:rPr>
        <w:t>V</w:t>
      </w:r>
      <w:r w:rsidR="00F44D6E" w:rsidRPr="00C57897">
        <w:rPr>
          <w:b w:val="0"/>
          <w:sz w:val="22"/>
          <w:szCs w:val="22"/>
        </w:rPr>
        <w:t>aluable learning is missed when you are absent but I realize that absences will occur.  F</w:t>
      </w:r>
      <w:r w:rsidR="00364F73" w:rsidRPr="00C57897">
        <w:rPr>
          <w:b w:val="0"/>
          <w:sz w:val="22"/>
          <w:szCs w:val="22"/>
        </w:rPr>
        <w:t xml:space="preserve">inding out what </w:t>
      </w:r>
      <w:r w:rsidR="00F44D6E" w:rsidRPr="00C57897">
        <w:rPr>
          <w:b w:val="0"/>
          <w:sz w:val="22"/>
          <w:szCs w:val="22"/>
        </w:rPr>
        <w:t xml:space="preserve">work </w:t>
      </w:r>
      <w:r w:rsidR="00364F73" w:rsidRPr="00C57897">
        <w:rPr>
          <w:b w:val="0"/>
          <w:sz w:val="22"/>
          <w:szCs w:val="22"/>
        </w:rPr>
        <w:t xml:space="preserve">you missed and making arrangements </w:t>
      </w:r>
      <w:r w:rsidR="00F44D6E" w:rsidRPr="00C57897">
        <w:rPr>
          <w:b w:val="0"/>
          <w:sz w:val="22"/>
          <w:szCs w:val="22"/>
        </w:rPr>
        <w:t xml:space="preserve">for </w:t>
      </w:r>
      <w:r w:rsidR="00364F73" w:rsidRPr="00C57897">
        <w:rPr>
          <w:b w:val="0"/>
          <w:sz w:val="22"/>
          <w:szCs w:val="22"/>
        </w:rPr>
        <w:t xml:space="preserve">make up </w:t>
      </w:r>
      <w:r w:rsidR="00D472AD" w:rsidRPr="00C57897">
        <w:rPr>
          <w:b w:val="0"/>
          <w:sz w:val="22"/>
          <w:szCs w:val="22"/>
        </w:rPr>
        <w:t>SHOULD</w:t>
      </w:r>
      <w:r w:rsidR="00364F73" w:rsidRPr="00C57897">
        <w:rPr>
          <w:b w:val="0"/>
          <w:sz w:val="22"/>
          <w:szCs w:val="22"/>
        </w:rPr>
        <w:t xml:space="preserve"> be done WITHOUT DISTURBING CLASS (</w:t>
      </w:r>
      <w:r w:rsidR="00D472AD" w:rsidRPr="00C57897">
        <w:rPr>
          <w:b w:val="0"/>
          <w:sz w:val="22"/>
          <w:szCs w:val="22"/>
        </w:rPr>
        <w:t xml:space="preserve">check with a neighbor </w:t>
      </w:r>
      <w:r w:rsidR="00C57897" w:rsidRPr="00C57897">
        <w:rPr>
          <w:b w:val="0"/>
          <w:sz w:val="22"/>
          <w:szCs w:val="22"/>
        </w:rPr>
        <w:t>for the warm-up question,</w:t>
      </w:r>
      <w:r w:rsidR="00D472AD" w:rsidRPr="00C57897">
        <w:rPr>
          <w:b w:val="0"/>
          <w:sz w:val="22"/>
          <w:szCs w:val="22"/>
        </w:rPr>
        <w:t xml:space="preserve"> see me before class, at lunch, or after school</w:t>
      </w:r>
      <w:r w:rsidR="00C57897" w:rsidRPr="00C57897">
        <w:rPr>
          <w:b w:val="0"/>
          <w:sz w:val="22"/>
          <w:szCs w:val="22"/>
        </w:rPr>
        <w:t xml:space="preserve"> for other assignments</w:t>
      </w:r>
      <w:r w:rsidR="00D472AD" w:rsidRPr="00C57897">
        <w:rPr>
          <w:b w:val="0"/>
          <w:sz w:val="22"/>
          <w:szCs w:val="22"/>
        </w:rPr>
        <w:t>)</w:t>
      </w:r>
      <w:r w:rsidR="00364F73" w:rsidRPr="00C57897">
        <w:rPr>
          <w:b w:val="0"/>
          <w:sz w:val="22"/>
          <w:szCs w:val="22"/>
        </w:rPr>
        <w:t xml:space="preserve">.  </w:t>
      </w:r>
      <w:r w:rsidR="006603A4" w:rsidRPr="00C57897">
        <w:rPr>
          <w:b w:val="0"/>
          <w:sz w:val="22"/>
          <w:szCs w:val="22"/>
        </w:rPr>
        <w:t xml:space="preserve">Per the handbook, you have three days to make up any missing work after an excused absence.  </w:t>
      </w:r>
    </w:p>
    <w:p w:rsidR="00C57897" w:rsidRPr="00C57897" w:rsidRDefault="00C57897" w:rsidP="00E3750D">
      <w:pPr>
        <w:pStyle w:val="Heading2"/>
        <w:rPr>
          <w:sz w:val="22"/>
          <w:szCs w:val="22"/>
        </w:rPr>
      </w:pPr>
    </w:p>
    <w:p w:rsidR="00E3750D" w:rsidRPr="00C57897" w:rsidRDefault="00E3750D" w:rsidP="00C57897">
      <w:pPr>
        <w:pStyle w:val="Heading2"/>
        <w:jc w:val="center"/>
        <w:rPr>
          <w:sz w:val="22"/>
          <w:szCs w:val="22"/>
        </w:rPr>
      </w:pPr>
      <w:r w:rsidRPr="00C57897">
        <w:rPr>
          <w:sz w:val="22"/>
          <w:szCs w:val="22"/>
        </w:rPr>
        <w:t>Grading Policy</w:t>
      </w:r>
    </w:p>
    <w:tbl>
      <w:tblPr>
        <w:tblpPr w:leftFromText="180" w:rightFromText="180" w:vertAnchor="text" w:horzAnchor="margin" w:tblpY="9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690"/>
        <w:gridCol w:w="9207"/>
      </w:tblGrid>
      <w:tr w:rsidR="002B2A73" w:rsidTr="002B2A73">
        <w:trPr>
          <w:cantSplit/>
        </w:trPr>
        <w:tc>
          <w:tcPr>
            <w:tcW w:w="10908" w:type="dxa"/>
            <w:gridSpan w:val="3"/>
          </w:tcPr>
          <w:p w:rsidR="002B2A73" w:rsidRDefault="002B2A73" w:rsidP="002B2A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 w:rsidR="00BD2442">
              <w:rPr>
                <w:rFonts w:ascii="Arial" w:hAnsi="Arial" w:cs="Arial"/>
                <w:b/>
                <w:bCs/>
                <w:sz w:val="22"/>
              </w:rPr>
              <w:t xml:space="preserve"> 9 weeks (40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% of final course grade):  </w:t>
            </w:r>
          </w:p>
          <w:p w:rsidR="002B2A73" w:rsidRDefault="002B2A73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 the end of the 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9 weeks, the grade will be recorded using the grading scale below.</w:t>
            </w:r>
          </w:p>
          <w:p w:rsidR="002B2A73" w:rsidRDefault="002B2A73" w:rsidP="002B2A73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90-100, B 80-89, C 70-79, F 60-69</w:t>
            </w:r>
          </w:p>
        </w:tc>
      </w:tr>
      <w:tr w:rsidR="002B2A73" w:rsidTr="00BF1C55">
        <w:tc>
          <w:tcPr>
            <w:tcW w:w="767" w:type="dxa"/>
          </w:tcPr>
          <w:p w:rsidR="002B2A73" w:rsidRDefault="002B2A73" w:rsidP="002B2A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Tests</w:t>
            </w:r>
          </w:p>
        </w:tc>
        <w:tc>
          <w:tcPr>
            <w:tcW w:w="691" w:type="dxa"/>
          </w:tcPr>
          <w:p w:rsidR="002B2A73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2B2A73"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9450" w:type="dxa"/>
          </w:tcPr>
          <w:p w:rsidR="002B2A73" w:rsidRDefault="002B2A73" w:rsidP="00C5789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Tests will come from assigned material.  This material has been derived from the textbook and other resources.  I must stress that attendance and participation in class are CRITI</w:t>
            </w:r>
            <w:r w:rsidR="0083467C">
              <w:rPr>
                <w:rFonts w:ascii="Arial" w:hAnsi="Arial" w:cs="Arial"/>
                <w:sz w:val="22"/>
              </w:rPr>
              <w:t xml:space="preserve">CAL for success in this class. A portion of each test grade will come from </w:t>
            </w:r>
            <w:r w:rsidR="00C57897">
              <w:rPr>
                <w:rFonts w:ascii="Arial" w:hAnsi="Arial" w:cs="Arial"/>
                <w:sz w:val="22"/>
              </w:rPr>
              <w:t>essay</w:t>
            </w:r>
            <w:r>
              <w:rPr>
                <w:rFonts w:ascii="Arial" w:hAnsi="Arial" w:cs="Arial"/>
                <w:sz w:val="22"/>
              </w:rPr>
              <w:t>.  A cumulative midte</w:t>
            </w:r>
            <w:r w:rsidR="00C57897">
              <w:rPr>
                <w:rFonts w:ascii="Arial" w:hAnsi="Arial" w:cs="Arial"/>
                <w:sz w:val="22"/>
              </w:rPr>
              <w:t>rm will be given and could count up to two times</w:t>
            </w:r>
            <w:r>
              <w:rPr>
                <w:rFonts w:ascii="Arial" w:hAnsi="Arial" w:cs="Arial"/>
                <w:sz w:val="22"/>
              </w:rPr>
              <w:t>.</w:t>
            </w:r>
            <w:r w:rsidR="00C57897">
              <w:rPr>
                <w:rFonts w:ascii="Arial" w:hAnsi="Arial" w:cs="Arial"/>
                <w:sz w:val="22"/>
              </w:rPr>
              <w:t xml:space="preserve">  Study guides will be provided.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2B2A73" w:rsidTr="00BF1C55">
        <w:tc>
          <w:tcPr>
            <w:tcW w:w="767" w:type="dxa"/>
          </w:tcPr>
          <w:p w:rsidR="002B2A73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Quizzes</w:t>
            </w:r>
          </w:p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</w:p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Daily </w:t>
            </w:r>
          </w:p>
        </w:tc>
        <w:tc>
          <w:tcPr>
            <w:tcW w:w="691" w:type="dxa"/>
          </w:tcPr>
          <w:p w:rsidR="002B2A73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2B2A73">
              <w:rPr>
                <w:rFonts w:ascii="Arial" w:hAnsi="Arial" w:cs="Arial"/>
                <w:sz w:val="22"/>
              </w:rPr>
              <w:t>0%</w:t>
            </w:r>
          </w:p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</w:p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20%</w:t>
            </w:r>
          </w:p>
        </w:tc>
        <w:tc>
          <w:tcPr>
            <w:tcW w:w="9450" w:type="dxa"/>
          </w:tcPr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Quizzes</w:t>
            </w:r>
            <w:r w:rsidR="00C57897">
              <w:rPr>
                <w:rFonts w:ascii="Arial" w:hAnsi="Arial" w:cs="Arial"/>
                <w:sz w:val="22"/>
              </w:rPr>
              <w:t xml:space="preserve"> (There are 10 of these:  one per standard)</w:t>
            </w:r>
          </w:p>
          <w:p w:rsidR="000B0139" w:rsidRDefault="000B0139" w:rsidP="002B2A73">
            <w:pPr>
              <w:rPr>
                <w:rFonts w:ascii="Arial" w:hAnsi="Arial" w:cs="Arial"/>
                <w:sz w:val="22"/>
              </w:rPr>
            </w:pPr>
          </w:p>
          <w:p w:rsidR="000B0139" w:rsidRDefault="002B2A73" w:rsidP="002B2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Laboratory Reports, Class work , Homework, Reading Assignments</w:t>
            </w:r>
          </w:p>
        </w:tc>
      </w:tr>
      <w:tr w:rsidR="002B2A73" w:rsidTr="00BF1C55">
        <w:trPr>
          <w:cantSplit/>
          <w:trHeight w:val="620"/>
        </w:trPr>
        <w:tc>
          <w:tcPr>
            <w:tcW w:w="10908" w:type="dxa"/>
            <w:gridSpan w:val="3"/>
          </w:tcPr>
          <w:p w:rsidR="00BF1C55" w:rsidRDefault="00BF1C55" w:rsidP="002B2A73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2B2A73" w:rsidRDefault="002B2A73" w:rsidP="002B2A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nd</w:t>
            </w:r>
            <w:r w:rsidR="00BD2442">
              <w:rPr>
                <w:rFonts w:ascii="Arial" w:hAnsi="Arial" w:cs="Arial"/>
                <w:b/>
                <w:bCs/>
                <w:sz w:val="22"/>
              </w:rPr>
              <w:t xml:space="preserve"> 9 weeks (40</w:t>
            </w:r>
            <w:r>
              <w:rPr>
                <w:rFonts w:ascii="Arial" w:hAnsi="Arial" w:cs="Arial"/>
                <w:b/>
                <w:bCs/>
                <w:sz w:val="22"/>
              </w:rPr>
              <w:t>% of final course grade):</w:t>
            </w:r>
            <w:r w:rsidR="00C57897">
              <w:rPr>
                <w:rFonts w:ascii="Arial" w:hAnsi="Arial" w:cs="Arial"/>
                <w:b/>
                <w:bCs/>
                <w:sz w:val="22"/>
              </w:rPr>
              <w:t xml:space="preserve"> same breakdown as 1</w:t>
            </w:r>
            <w:r w:rsidR="00C57897" w:rsidRPr="00C57897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 w:rsidR="00C57897">
              <w:rPr>
                <w:rFonts w:ascii="Arial" w:hAnsi="Arial" w:cs="Arial"/>
                <w:b/>
                <w:bCs/>
                <w:sz w:val="22"/>
              </w:rPr>
              <w:t xml:space="preserve"> nine weeks</w:t>
            </w:r>
          </w:p>
          <w:p w:rsidR="002B2A73" w:rsidRDefault="002B2A73" w:rsidP="002B2A73">
            <w:pPr>
              <w:ind w:left="720"/>
              <w:rPr>
                <w:rFonts w:ascii="Arial" w:hAnsi="Arial" w:cs="Arial"/>
                <w:sz w:val="22"/>
              </w:rPr>
            </w:pPr>
          </w:p>
        </w:tc>
      </w:tr>
      <w:tr w:rsidR="002B2A73" w:rsidTr="002B2A73">
        <w:trPr>
          <w:cantSplit/>
        </w:trPr>
        <w:tc>
          <w:tcPr>
            <w:tcW w:w="10908" w:type="dxa"/>
            <w:gridSpan w:val="3"/>
          </w:tcPr>
          <w:p w:rsidR="002B2A73" w:rsidRDefault="002B2A73" w:rsidP="002B2A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Same as 1</w:t>
            </w:r>
            <w:r w:rsidRPr="00F34E1A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9 weeks</w:t>
            </w:r>
          </w:p>
        </w:tc>
      </w:tr>
      <w:tr w:rsidR="002B2A73" w:rsidTr="002B2A73">
        <w:trPr>
          <w:cantSplit/>
        </w:trPr>
        <w:tc>
          <w:tcPr>
            <w:tcW w:w="10908" w:type="dxa"/>
            <w:gridSpan w:val="3"/>
          </w:tcPr>
          <w:p w:rsidR="002B2A73" w:rsidRDefault="00C57897" w:rsidP="002B2A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</w:t>
            </w:r>
            <w:r w:rsidR="005D4464">
              <w:rPr>
                <w:rFonts w:ascii="Arial" w:hAnsi="Arial" w:cs="Arial"/>
                <w:b/>
                <w:bCs/>
                <w:sz w:val="22"/>
              </w:rPr>
              <w:t xml:space="preserve"> (2</w:t>
            </w:r>
            <w:r w:rsidR="00BD2442">
              <w:rPr>
                <w:rFonts w:ascii="Arial" w:hAnsi="Arial" w:cs="Arial"/>
                <w:b/>
                <w:bCs/>
                <w:sz w:val="22"/>
              </w:rPr>
              <w:t>0</w:t>
            </w:r>
            <w:r w:rsidR="002B2A73">
              <w:rPr>
                <w:rFonts w:ascii="Arial" w:hAnsi="Arial" w:cs="Arial"/>
                <w:b/>
                <w:bCs/>
                <w:sz w:val="22"/>
              </w:rPr>
              <w:t>% of final course grade):</w:t>
            </w:r>
          </w:p>
          <w:p w:rsidR="002B2A73" w:rsidRDefault="002B2A73" w:rsidP="002B2A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C57897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EE3E34" w:rsidRPr="00EE3E34" w:rsidRDefault="00EE3E34" w:rsidP="000B0139">
      <w:pPr>
        <w:rPr>
          <w:b/>
          <w:sz w:val="20"/>
        </w:rPr>
      </w:pPr>
    </w:p>
    <w:tbl>
      <w:tblPr>
        <w:tblStyle w:val="TableGrid"/>
        <w:tblW w:w="112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91"/>
        <w:gridCol w:w="1836"/>
        <w:gridCol w:w="2330"/>
        <w:gridCol w:w="2617"/>
        <w:gridCol w:w="2876"/>
      </w:tblGrid>
      <w:tr w:rsidR="003634ED" w:rsidRPr="00BD2442" w:rsidTr="00715138">
        <w:trPr>
          <w:trHeight w:val="67"/>
        </w:trPr>
        <w:tc>
          <w:tcPr>
            <w:tcW w:w="11250" w:type="dxa"/>
            <w:gridSpan w:val="5"/>
          </w:tcPr>
          <w:p w:rsidR="003634ED" w:rsidRPr="00BD2442" w:rsidRDefault="003634ED" w:rsidP="00A86A3C">
            <w:pPr>
              <w:jc w:val="center"/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Physical Science Pacing Guide One Semester</w:t>
            </w:r>
          </w:p>
        </w:tc>
      </w:tr>
      <w:tr w:rsidR="003634ED" w:rsidRPr="00BD2442" w:rsidTr="00715138">
        <w:trPr>
          <w:trHeight w:val="134"/>
        </w:trPr>
        <w:tc>
          <w:tcPr>
            <w:tcW w:w="1591" w:type="dxa"/>
          </w:tcPr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 xml:space="preserve">Unit One: </w:t>
            </w:r>
          </w:p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Motion</w:t>
            </w:r>
          </w:p>
        </w:tc>
        <w:tc>
          <w:tcPr>
            <w:tcW w:w="1836" w:type="dxa"/>
          </w:tcPr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 xml:space="preserve">Unit Two: </w:t>
            </w:r>
          </w:p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Energy</w:t>
            </w:r>
          </w:p>
        </w:tc>
        <w:tc>
          <w:tcPr>
            <w:tcW w:w="2330" w:type="dxa"/>
          </w:tcPr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 xml:space="preserve">Unit Three:  </w:t>
            </w:r>
          </w:p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Matter</w:t>
            </w:r>
          </w:p>
        </w:tc>
        <w:tc>
          <w:tcPr>
            <w:tcW w:w="2617" w:type="dxa"/>
          </w:tcPr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 xml:space="preserve">Unit Four: </w:t>
            </w:r>
          </w:p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Chemistry in Motion</w:t>
            </w:r>
          </w:p>
        </w:tc>
        <w:tc>
          <w:tcPr>
            <w:tcW w:w="2876" w:type="dxa"/>
          </w:tcPr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Unit Five:</w:t>
            </w:r>
          </w:p>
          <w:p w:rsidR="003634ED" w:rsidRPr="00BD2442" w:rsidRDefault="003634ED" w:rsidP="00A86A3C">
            <w:pPr>
              <w:rPr>
                <w:b/>
                <w:sz w:val="16"/>
                <w:szCs w:val="16"/>
              </w:rPr>
            </w:pPr>
            <w:r w:rsidRPr="00BD2442">
              <w:rPr>
                <w:b/>
                <w:sz w:val="16"/>
                <w:szCs w:val="16"/>
              </w:rPr>
              <w:t>Charged!</w:t>
            </w:r>
          </w:p>
        </w:tc>
      </w:tr>
      <w:tr w:rsidR="003634ED" w:rsidRPr="00BD2442" w:rsidTr="00715138">
        <w:trPr>
          <w:trHeight w:val="62"/>
        </w:trPr>
        <w:tc>
          <w:tcPr>
            <w:tcW w:w="1591" w:type="dxa"/>
          </w:tcPr>
          <w:p w:rsidR="003634ED" w:rsidRPr="00BD2442" w:rsidRDefault="003634ED" w:rsidP="00A86A3C">
            <w:pPr>
              <w:jc w:val="center"/>
              <w:rPr>
                <w:sz w:val="16"/>
                <w:szCs w:val="16"/>
              </w:rPr>
            </w:pPr>
            <w:r w:rsidRPr="00BD2442">
              <w:rPr>
                <w:sz w:val="16"/>
                <w:szCs w:val="16"/>
              </w:rPr>
              <w:t>3 weeks</w:t>
            </w:r>
          </w:p>
        </w:tc>
        <w:tc>
          <w:tcPr>
            <w:tcW w:w="1836" w:type="dxa"/>
          </w:tcPr>
          <w:p w:rsidR="003634ED" w:rsidRPr="00BD2442" w:rsidRDefault="003634ED" w:rsidP="00A86A3C">
            <w:pPr>
              <w:jc w:val="center"/>
              <w:rPr>
                <w:sz w:val="16"/>
                <w:szCs w:val="16"/>
              </w:rPr>
            </w:pPr>
            <w:r w:rsidRPr="00BD2442">
              <w:rPr>
                <w:sz w:val="16"/>
                <w:szCs w:val="16"/>
              </w:rPr>
              <w:t>4 weeks</w:t>
            </w:r>
          </w:p>
        </w:tc>
        <w:tc>
          <w:tcPr>
            <w:tcW w:w="2330" w:type="dxa"/>
          </w:tcPr>
          <w:p w:rsidR="003634ED" w:rsidRPr="00BD2442" w:rsidRDefault="003634ED" w:rsidP="00A86A3C">
            <w:pPr>
              <w:jc w:val="center"/>
              <w:rPr>
                <w:sz w:val="16"/>
                <w:szCs w:val="16"/>
              </w:rPr>
            </w:pPr>
            <w:r w:rsidRPr="00BD2442">
              <w:rPr>
                <w:sz w:val="16"/>
                <w:szCs w:val="16"/>
              </w:rPr>
              <w:t>3.5 weeks</w:t>
            </w:r>
          </w:p>
        </w:tc>
        <w:tc>
          <w:tcPr>
            <w:tcW w:w="2617" w:type="dxa"/>
          </w:tcPr>
          <w:p w:rsidR="003634ED" w:rsidRPr="00BD2442" w:rsidRDefault="003634ED" w:rsidP="00A86A3C">
            <w:pPr>
              <w:jc w:val="center"/>
              <w:rPr>
                <w:sz w:val="16"/>
                <w:szCs w:val="16"/>
              </w:rPr>
            </w:pPr>
            <w:r w:rsidRPr="00BD2442">
              <w:rPr>
                <w:sz w:val="16"/>
                <w:szCs w:val="16"/>
              </w:rPr>
              <w:t xml:space="preserve">4 weeks </w:t>
            </w:r>
          </w:p>
        </w:tc>
        <w:tc>
          <w:tcPr>
            <w:tcW w:w="2876" w:type="dxa"/>
          </w:tcPr>
          <w:p w:rsidR="003634ED" w:rsidRPr="00BD2442" w:rsidRDefault="009B6DAF" w:rsidP="00A86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634ED" w:rsidRPr="00BD2442">
              <w:rPr>
                <w:sz w:val="16"/>
                <w:szCs w:val="16"/>
              </w:rPr>
              <w:t xml:space="preserve"> weeks</w:t>
            </w:r>
          </w:p>
        </w:tc>
      </w:tr>
      <w:tr w:rsidR="003634ED" w:rsidRPr="00BD2442" w:rsidTr="007D5C3F">
        <w:trPr>
          <w:trHeight w:val="5885"/>
        </w:trPr>
        <w:tc>
          <w:tcPr>
            <w:tcW w:w="1591" w:type="dxa"/>
          </w:tcPr>
          <w:p w:rsidR="003634ED" w:rsidRPr="00BD2442" w:rsidRDefault="003634ED" w:rsidP="00A86A3C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137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1"/>
            </w:tblGrid>
            <w:tr w:rsidR="003634ED" w:rsidRPr="00BD2442" w:rsidTr="00A86A3C">
              <w:trPr>
                <w:trHeight w:val="632"/>
              </w:trPr>
              <w:tc>
                <w:tcPr>
                  <w:tcW w:w="1371" w:type="dxa"/>
                </w:tcPr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Focus: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Force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Motion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Molecular Motion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Phases of Matter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Relationship between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temperature,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pressure, and volume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of gases to molecular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motion </w:t>
                  </w:r>
                </w:p>
              </w:tc>
            </w:tr>
          </w:tbl>
          <w:p w:rsidR="003634ED" w:rsidRPr="00BD2442" w:rsidRDefault="003634ED" w:rsidP="00A86A3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3634ED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Chapter Resources for this unit: 2,3,5</w:t>
            </w:r>
          </w:p>
          <w:p w:rsidR="00715138" w:rsidRDefault="00715138" w:rsidP="00A86A3C">
            <w:pPr>
              <w:rPr>
                <w:sz w:val="16"/>
                <w:szCs w:val="16"/>
              </w:rPr>
            </w:pPr>
          </w:p>
          <w:p w:rsidR="00715138" w:rsidRPr="00BD2442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 standards:  2a, 5,7a,8</w:t>
            </w:r>
          </w:p>
        </w:tc>
        <w:tc>
          <w:tcPr>
            <w:tcW w:w="1836" w:type="dxa"/>
          </w:tcPr>
          <w:p w:rsidR="003634ED" w:rsidRPr="00BD2442" w:rsidRDefault="003634ED" w:rsidP="00A86A3C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161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7"/>
            </w:tblGrid>
            <w:tr w:rsidR="003634ED" w:rsidRPr="00BD2442" w:rsidTr="00A86A3C">
              <w:trPr>
                <w:trHeight w:val="955"/>
              </w:trPr>
              <w:tc>
                <w:tcPr>
                  <w:tcW w:w="1617" w:type="dxa"/>
                </w:tcPr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Focus: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Concept connection Temperature and Phase diagram.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Thermal Energy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Heat Capacity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Energy Flow and Energy Transfer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Waves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Radiation, convection,  and conduction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Work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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Forces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Simple     Machines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Nuclear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Matter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634ED" w:rsidRPr="00BD2442" w:rsidRDefault="003634ED" w:rsidP="00A86A3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3634ED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Chapter Resources for this unit: 4,5,6,9,10,12,15,16</w:t>
            </w:r>
          </w:p>
          <w:p w:rsidR="00715138" w:rsidRDefault="00715138" w:rsidP="00A86A3C">
            <w:pPr>
              <w:rPr>
                <w:sz w:val="16"/>
                <w:szCs w:val="16"/>
              </w:rPr>
            </w:pPr>
          </w:p>
          <w:p w:rsidR="00715138" w:rsidRPr="00BD2442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GPS standards:  </w:t>
            </w:r>
            <w:r w:rsidR="007D5C3F">
              <w:rPr>
                <w:sz w:val="16"/>
                <w:szCs w:val="16"/>
              </w:rPr>
              <w:t>9,7,3a,3c</w:t>
            </w:r>
          </w:p>
        </w:tc>
        <w:tc>
          <w:tcPr>
            <w:tcW w:w="2330" w:type="dxa"/>
          </w:tcPr>
          <w:p w:rsidR="003634ED" w:rsidRPr="00BD2442" w:rsidRDefault="003634ED" w:rsidP="00A86A3C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223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3"/>
            </w:tblGrid>
            <w:tr w:rsidR="003634ED" w:rsidRPr="00BD2442" w:rsidTr="00A86A3C">
              <w:trPr>
                <w:trHeight w:val="1018"/>
              </w:trPr>
              <w:tc>
                <w:tcPr>
                  <w:tcW w:w="2233" w:type="dxa"/>
                </w:tcPr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Focus: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Concept Connection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Nuclear Reactions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Atomic Structure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Nucleus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Types of nuclear reactions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Half life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Isotope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atomic number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Periodic Table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Electrons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Trends in the periodic table due to valence electrons.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Ions formed.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rFonts w:ascii="Wingdings" w:hAnsi="Wingdings" w:cs="Wingdings"/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Electron Movement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bonding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>Forces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Current </w:t>
                  </w:r>
                </w:p>
              </w:tc>
            </w:tr>
          </w:tbl>
          <w:p w:rsidR="003634ED" w:rsidRPr="00BD2442" w:rsidRDefault="003634ED" w:rsidP="00A86A3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3634ED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Chapter Resources for this unit: 17,18,19,20</w:t>
            </w:r>
          </w:p>
          <w:p w:rsidR="00715138" w:rsidRDefault="00715138" w:rsidP="00A86A3C">
            <w:pPr>
              <w:rPr>
                <w:sz w:val="16"/>
                <w:szCs w:val="16"/>
              </w:rPr>
            </w:pPr>
          </w:p>
          <w:p w:rsidR="00715138" w:rsidRPr="00BD2442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 standards: 1,4, 3b, 3d</w:t>
            </w:r>
          </w:p>
        </w:tc>
        <w:tc>
          <w:tcPr>
            <w:tcW w:w="2617" w:type="dxa"/>
          </w:tcPr>
          <w:p w:rsidR="003634ED" w:rsidRPr="00BD2442" w:rsidRDefault="003634ED" w:rsidP="00A86A3C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253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</w:tblGrid>
            <w:tr w:rsidR="003634ED" w:rsidRPr="00BD2442" w:rsidTr="00A86A3C">
              <w:trPr>
                <w:trHeight w:val="632"/>
              </w:trPr>
              <w:tc>
                <w:tcPr>
                  <w:tcW w:w="2530" w:type="dxa"/>
                </w:tcPr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Focus: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Concept Connection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Bonding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Covalent and Ionic Compounds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Properties of Matter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Density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Solubility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Acid/Base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Conductivity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Conservation of Matter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Chemical Reactions </w:t>
                  </w:r>
                </w:p>
              </w:tc>
            </w:tr>
          </w:tbl>
          <w:p w:rsidR="003634ED" w:rsidRPr="00BD2442" w:rsidRDefault="003634ED" w:rsidP="00A86A3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3634ED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Chapter Resources for this unit: 21,22,23</w:t>
            </w:r>
          </w:p>
          <w:p w:rsidR="00715138" w:rsidRDefault="00715138" w:rsidP="00A86A3C">
            <w:pPr>
              <w:rPr>
                <w:sz w:val="16"/>
                <w:szCs w:val="16"/>
              </w:rPr>
            </w:pPr>
          </w:p>
          <w:p w:rsidR="00715138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 standards: 2,6</w:t>
            </w: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Default="00C57897" w:rsidP="00A86A3C">
            <w:pPr>
              <w:rPr>
                <w:sz w:val="16"/>
                <w:szCs w:val="16"/>
              </w:rPr>
            </w:pPr>
          </w:p>
          <w:p w:rsidR="00C57897" w:rsidRPr="00C57897" w:rsidRDefault="00C57897" w:rsidP="00C578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7897">
              <w:rPr>
                <w:rFonts w:ascii="Arial" w:hAnsi="Arial" w:cs="Arial"/>
                <w:b/>
                <w:sz w:val="22"/>
                <w:szCs w:val="22"/>
              </w:rPr>
              <w:t>****Schedule is a general guideline and actual times may vary. *******</w:t>
            </w:r>
          </w:p>
          <w:p w:rsidR="00C57897" w:rsidRPr="00BD2442" w:rsidRDefault="00C57897" w:rsidP="00A86A3C">
            <w:pPr>
              <w:rPr>
                <w:sz w:val="16"/>
                <w:szCs w:val="16"/>
              </w:rPr>
            </w:pPr>
          </w:p>
        </w:tc>
        <w:tc>
          <w:tcPr>
            <w:tcW w:w="2876" w:type="dxa"/>
          </w:tcPr>
          <w:p w:rsidR="003634ED" w:rsidRPr="00BD2442" w:rsidRDefault="003634ED" w:rsidP="00A86A3C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149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8"/>
            </w:tblGrid>
            <w:tr w:rsidR="003634ED" w:rsidRPr="00BD2442" w:rsidTr="00A86A3C">
              <w:trPr>
                <w:trHeight w:val="917"/>
              </w:trPr>
              <w:tc>
                <w:tcPr>
                  <w:tcW w:w="1498" w:type="dxa"/>
                </w:tcPr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Focus: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Connecting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Motion of charge particles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Matter Properties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Insulator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Conductor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Difference of Potential Energy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Current (resistance and voltage)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Conductor (force 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</w:t>
                  </w:r>
                  <w:r w:rsidRPr="00BD2442">
                    <w:rPr>
                      <w:rFonts w:ascii="Wingdings" w:hAnsi="Wingdings" w:cs="Wingdings"/>
                      <w:sz w:val="16"/>
                      <w:szCs w:val="16"/>
                    </w:rPr>
                    <w:t>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friction)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Induction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Chemical Cell (conductivity through solutions)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Induce Magnetic Fields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 xml:space="preserve">Energy Transformation </w:t>
                  </w:r>
                </w:p>
                <w:p w:rsidR="003634ED" w:rsidRPr="00BD2442" w:rsidRDefault="003634ED" w:rsidP="00A86A3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D244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o </w:t>
                  </w:r>
                  <w:r w:rsidRPr="00BD2442">
                    <w:rPr>
                      <w:i/>
                      <w:iCs/>
                      <w:sz w:val="16"/>
                      <w:szCs w:val="16"/>
                    </w:rPr>
                    <w:t>Motors, Permanent magnets, electromagnets</w:t>
                  </w:r>
                </w:p>
              </w:tc>
            </w:tr>
          </w:tbl>
          <w:p w:rsidR="003634ED" w:rsidRPr="00BD2442" w:rsidRDefault="003634ED" w:rsidP="00A86A3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3634ED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Chapter Resources for this unit: 7,8</w:t>
            </w:r>
          </w:p>
          <w:p w:rsidR="00715138" w:rsidRDefault="00715138" w:rsidP="00A86A3C">
            <w:pPr>
              <w:rPr>
                <w:sz w:val="16"/>
                <w:szCs w:val="16"/>
              </w:rPr>
            </w:pPr>
          </w:p>
          <w:p w:rsidR="00715138" w:rsidRPr="00BD2442" w:rsidRDefault="00715138" w:rsidP="00A86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 standards:  10</w:t>
            </w:r>
          </w:p>
        </w:tc>
      </w:tr>
    </w:tbl>
    <w:p w:rsidR="000B0139" w:rsidRDefault="000B0139" w:rsidP="002B2A7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2442" w:rsidRDefault="00BD2442" w:rsidP="002B2A73">
      <w:pPr>
        <w:spacing w:line="360" w:lineRule="auto"/>
        <w:rPr>
          <w:rFonts w:ascii="Arial" w:hAnsi="Arial" w:cs="Arial"/>
          <w:sz w:val="22"/>
          <w:szCs w:val="22"/>
        </w:rPr>
      </w:pPr>
      <w:r w:rsidRPr="00BF1C55">
        <w:rPr>
          <w:rFonts w:ascii="Arial" w:hAnsi="Arial" w:cs="Arial"/>
          <w:b/>
          <w:sz w:val="22"/>
          <w:szCs w:val="22"/>
        </w:rPr>
        <w:t>School wide rules:</w:t>
      </w:r>
      <w:r w:rsidR="009B6DAF" w:rsidRPr="00BF1C55">
        <w:rPr>
          <w:rFonts w:ascii="Arial" w:hAnsi="Arial" w:cs="Arial"/>
          <w:sz w:val="22"/>
          <w:szCs w:val="22"/>
        </w:rPr>
        <w:t xml:space="preserve"> </w:t>
      </w:r>
      <w:r w:rsidR="00350C87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BF1C55">
        <w:rPr>
          <w:rFonts w:ascii="Arial" w:hAnsi="Arial" w:cs="Arial"/>
          <w:sz w:val="22"/>
          <w:szCs w:val="22"/>
        </w:rPr>
        <w:t>Must be on time to class</w:t>
      </w:r>
      <w:r w:rsidR="006603A4" w:rsidRPr="00BF1C55">
        <w:rPr>
          <w:rFonts w:ascii="Arial" w:hAnsi="Arial" w:cs="Arial"/>
          <w:sz w:val="22"/>
          <w:szCs w:val="22"/>
        </w:rPr>
        <w:t xml:space="preserve"> (</w:t>
      </w:r>
      <w:r w:rsidR="006603A4" w:rsidRPr="00BF1C55">
        <w:rPr>
          <w:rFonts w:ascii="Arial" w:hAnsi="Arial" w:cs="Arial"/>
          <w:b/>
          <w:sz w:val="22"/>
          <w:szCs w:val="22"/>
        </w:rPr>
        <w:t xml:space="preserve">missing </w:t>
      </w:r>
      <w:r w:rsidR="00350C87">
        <w:rPr>
          <w:rFonts w:ascii="Arial" w:hAnsi="Arial" w:cs="Arial"/>
          <w:b/>
          <w:sz w:val="22"/>
          <w:szCs w:val="22"/>
        </w:rPr>
        <w:t>20</w:t>
      </w:r>
      <w:r w:rsidR="006603A4" w:rsidRPr="00BF1C55">
        <w:rPr>
          <w:rFonts w:ascii="Arial" w:hAnsi="Arial" w:cs="Arial"/>
          <w:b/>
          <w:sz w:val="22"/>
          <w:szCs w:val="22"/>
        </w:rPr>
        <w:t xml:space="preserve"> minutes of any class counts as an absence in that class</w:t>
      </w:r>
      <w:r w:rsidR="006603A4" w:rsidRPr="00BF1C55">
        <w:rPr>
          <w:rFonts w:ascii="Arial" w:hAnsi="Arial" w:cs="Arial"/>
          <w:sz w:val="22"/>
          <w:szCs w:val="22"/>
        </w:rPr>
        <w:t>.)</w:t>
      </w:r>
      <w:r w:rsidR="00BF1C55">
        <w:rPr>
          <w:rFonts w:ascii="Arial" w:hAnsi="Arial" w:cs="Arial"/>
          <w:sz w:val="22"/>
          <w:szCs w:val="22"/>
        </w:rPr>
        <w:t xml:space="preserve">  Keep in mind that students can exempt finals.  </w:t>
      </w:r>
    </w:p>
    <w:p w:rsidR="005B4C28" w:rsidRPr="00BF1C55" w:rsidRDefault="005B4C28" w:rsidP="002B2A73">
      <w:pPr>
        <w:spacing w:line="360" w:lineRule="auto"/>
        <w:rPr>
          <w:rFonts w:ascii="Arial" w:hAnsi="Arial" w:cs="Arial"/>
          <w:sz w:val="22"/>
          <w:szCs w:val="22"/>
        </w:rPr>
      </w:pPr>
    </w:p>
    <w:p w:rsidR="00BF1C55" w:rsidRDefault="005B4C28" w:rsidP="005B4C28">
      <w:pPr>
        <w:rPr>
          <w:rFonts w:ascii="Arial" w:hAnsi="Arial" w:cs="Arial"/>
          <w:sz w:val="22"/>
          <w:szCs w:val="22"/>
        </w:rPr>
      </w:pPr>
      <w:r w:rsidRPr="00BF1C55">
        <w:rPr>
          <w:rFonts w:ascii="Arial" w:hAnsi="Arial" w:cs="Arial"/>
          <w:sz w:val="22"/>
          <w:szCs w:val="22"/>
        </w:rPr>
        <w:t>I have read the syllabus and I understand</w:t>
      </w:r>
      <w:r>
        <w:rPr>
          <w:rFonts w:ascii="Arial" w:hAnsi="Arial" w:cs="Arial"/>
          <w:sz w:val="22"/>
          <w:szCs w:val="22"/>
        </w:rPr>
        <w:t xml:space="preserve"> what is expected of a student</w:t>
      </w:r>
      <w:r w:rsidRPr="00BF1C55">
        <w:rPr>
          <w:rFonts w:ascii="Arial" w:hAnsi="Arial" w:cs="Arial"/>
          <w:sz w:val="22"/>
          <w:szCs w:val="22"/>
        </w:rPr>
        <w:t>.</w:t>
      </w:r>
    </w:p>
    <w:p w:rsidR="005B4C28" w:rsidRPr="00BF1C55" w:rsidRDefault="005B4C28" w:rsidP="005B4C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5422C8" w:rsidRPr="00BF1C55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422C8" w:rsidRPr="00BF1C55" w:rsidRDefault="005422C8">
            <w:pPr>
              <w:rPr>
                <w:rFonts w:ascii="Arial" w:hAnsi="Arial" w:cs="Arial"/>
                <w:sz w:val="22"/>
                <w:szCs w:val="22"/>
              </w:rPr>
            </w:pPr>
            <w:r w:rsidRPr="00BF1C55">
              <w:rPr>
                <w:rFonts w:ascii="Arial" w:hAnsi="Arial" w:cs="Arial"/>
                <w:sz w:val="22"/>
                <w:szCs w:val="22"/>
              </w:rPr>
              <w:t>Student’s Signature____________________________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22C8" w:rsidRPr="00BF1C55" w:rsidRDefault="005422C8">
            <w:pPr>
              <w:rPr>
                <w:rFonts w:ascii="Arial" w:hAnsi="Arial" w:cs="Arial"/>
                <w:sz w:val="22"/>
                <w:szCs w:val="22"/>
              </w:rPr>
            </w:pPr>
            <w:r w:rsidRPr="00BF1C55">
              <w:rPr>
                <w:rFonts w:ascii="Arial" w:hAnsi="Arial" w:cs="Arial"/>
                <w:sz w:val="22"/>
                <w:szCs w:val="22"/>
              </w:rPr>
              <w:t>Date__________</w:t>
            </w:r>
          </w:p>
        </w:tc>
      </w:tr>
    </w:tbl>
    <w:p w:rsidR="00BD2442" w:rsidRDefault="00BD2442" w:rsidP="00A86A3C">
      <w:pPr>
        <w:rPr>
          <w:rFonts w:ascii="Arial" w:hAnsi="Arial" w:cs="Arial"/>
          <w:sz w:val="22"/>
          <w:szCs w:val="22"/>
        </w:rPr>
      </w:pPr>
    </w:p>
    <w:p w:rsidR="00C57897" w:rsidRPr="00BF1C55" w:rsidRDefault="00C57897" w:rsidP="00A86A3C">
      <w:pPr>
        <w:rPr>
          <w:rFonts w:ascii="Arial" w:hAnsi="Arial" w:cs="Arial"/>
          <w:sz w:val="22"/>
          <w:szCs w:val="22"/>
        </w:rPr>
      </w:pPr>
    </w:p>
    <w:p w:rsidR="00BD2442" w:rsidRPr="00BF1C55" w:rsidRDefault="005422C8" w:rsidP="005B4C28">
      <w:pPr>
        <w:rPr>
          <w:rFonts w:ascii="Arial" w:hAnsi="Arial" w:cs="Arial"/>
          <w:sz w:val="22"/>
          <w:szCs w:val="22"/>
        </w:rPr>
      </w:pPr>
      <w:r w:rsidRPr="00BF1C55">
        <w:rPr>
          <w:rFonts w:ascii="Arial" w:hAnsi="Arial" w:cs="Arial"/>
          <w:sz w:val="22"/>
          <w:szCs w:val="22"/>
        </w:rPr>
        <w:t>I have read the syllabus and I understand what is expected of the student.</w:t>
      </w:r>
    </w:p>
    <w:p w:rsidR="00BD2442" w:rsidRPr="00BF1C55" w:rsidRDefault="00BD2442" w:rsidP="002B2A7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BD2442" w:rsidRPr="00BF1C55" w:rsidTr="00BD2442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BD2442" w:rsidRPr="00BF1C55" w:rsidRDefault="00BD2442" w:rsidP="00BD2442">
            <w:pPr>
              <w:rPr>
                <w:rFonts w:ascii="Arial" w:hAnsi="Arial" w:cs="Arial"/>
                <w:sz w:val="22"/>
                <w:szCs w:val="22"/>
              </w:rPr>
            </w:pPr>
            <w:r w:rsidRPr="00BF1C55">
              <w:rPr>
                <w:rFonts w:ascii="Arial" w:hAnsi="Arial" w:cs="Arial"/>
                <w:sz w:val="22"/>
                <w:szCs w:val="22"/>
              </w:rPr>
              <w:t>Parent/Guardian Signature 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D2442" w:rsidRPr="00BF1C55" w:rsidRDefault="00BD2442" w:rsidP="00BD2442">
            <w:pPr>
              <w:rPr>
                <w:rFonts w:ascii="Arial" w:hAnsi="Arial" w:cs="Arial"/>
                <w:sz w:val="22"/>
                <w:szCs w:val="22"/>
              </w:rPr>
            </w:pPr>
            <w:r w:rsidRPr="00BF1C55">
              <w:rPr>
                <w:rFonts w:ascii="Arial" w:hAnsi="Arial" w:cs="Arial"/>
                <w:sz w:val="22"/>
                <w:szCs w:val="22"/>
              </w:rPr>
              <w:t>Date__________</w:t>
            </w:r>
          </w:p>
        </w:tc>
      </w:tr>
    </w:tbl>
    <w:p w:rsidR="00BD2442" w:rsidRPr="00BF1C55" w:rsidRDefault="00BD2442" w:rsidP="002B2A7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BD2442" w:rsidRDefault="00BD2442" w:rsidP="002B2A7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</w:p>
    <w:sectPr w:rsidR="00BD2442" w:rsidSect="00643439">
      <w:footerReference w:type="default" r:id="rId9"/>
      <w:pgSz w:w="12240" w:h="15840"/>
      <w:pgMar w:top="720" w:right="720" w:bottom="90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897" w:rsidRDefault="00C57897">
      <w:r>
        <w:separator/>
      </w:r>
    </w:p>
  </w:endnote>
  <w:endnote w:type="continuationSeparator" w:id="0">
    <w:p w:rsidR="00C57897" w:rsidRDefault="00C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97" w:rsidRDefault="00C57897" w:rsidP="00BF1C55">
    <w:pPr>
      <w:pStyle w:val="Header"/>
      <w:tabs>
        <w:tab w:val="clear" w:pos="4320"/>
        <w:tab w:val="clear" w:pos="8640"/>
      </w:tabs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Parts of this syllabus may change as needed.  A revised syllabus will be distributed to the class if substantial changes are made.</w:t>
    </w:r>
  </w:p>
  <w:p w:rsidR="00C57897" w:rsidRDefault="00C57897" w:rsidP="00BF1C55">
    <w:pPr>
      <w:pStyle w:val="Header"/>
      <w:tabs>
        <w:tab w:val="clear" w:pos="4320"/>
        <w:tab w:val="clear" w:pos="8640"/>
      </w:tabs>
      <w:rPr>
        <w:rFonts w:ascii="Arial" w:hAnsi="Arial" w:cs="Arial"/>
        <w:i/>
      </w:rPr>
    </w:pPr>
  </w:p>
  <w:p w:rsidR="00C57897" w:rsidRPr="00BF1C55" w:rsidRDefault="00C57897" w:rsidP="00BF1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897" w:rsidRDefault="00C57897">
      <w:r>
        <w:separator/>
      </w:r>
    </w:p>
  </w:footnote>
  <w:footnote w:type="continuationSeparator" w:id="0">
    <w:p w:rsidR="00C57897" w:rsidRDefault="00C5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24886"/>
    <w:multiLevelType w:val="hybridMultilevel"/>
    <w:tmpl w:val="FD8CB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4B41"/>
    <w:multiLevelType w:val="hybridMultilevel"/>
    <w:tmpl w:val="652019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1E2A46"/>
    <w:multiLevelType w:val="hybridMultilevel"/>
    <w:tmpl w:val="168A1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66781"/>
    <w:multiLevelType w:val="hybridMultilevel"/>
    <w:tmpl w:val="D7B4A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2AE"/>
    <w:rsid w:val="000B0139"/>
    <w:rsid w:val="00102121"/>
    <w:rsid w:val="00111A84"/>
    <w:rsid w:val="001C65FD"/>
    <w:rsid w:val="001D346D"/>
    <w:rsid w:val="001D5FA0"/>
    <w:rsid w:val="00236E42"/>
    <w:rsid w:val="00272522"/>
    <w:rsid w:val="002B2A73"/>
    <w:rsid w:val="00350C87"/>
    <w:rsid w:val="003634ED"/>
    <w:rsid w:val="00364F73"/>
    <w:rsid w:val="0038364E"/>
    <w:rsid w:val="00395D18"/>
    <w:rsid w:val="003A6B4F"/>
    <w:rsid w:val="004535E2"/>
    <w:rsid w:val="00465C79"/>
    <w:rsid w:val="004842CC"/>
    <w:rsid w:val="004848D5"/>
    <w:rsid w:val="00502E57"/>
    <w:rsid w:val="005271C1"/>
    <w:rsid w:val="005422C8"/>
    <w:rsid w:val="00555AAA"/>
    <w:rsid w:val="005B4C28"/>
    <w:rsid w:val="005C0FEE"/>
    <w:rsid w:val="005D4464"/>
    <w:rsid w:val="00643439"/>
    <w:rsid w:val="006603A4"/>
    <w:rsid w:val="006C4EEB"/>
    <w:rsid w:val="00715138"/>
    <w:rsid w:val="007478BA"/>
    <w:rsid w:val="007D5C3F"/>
    <w:rsid w:val="008106A8"/>
    <w:rsid w:val="0083467C"/>
    <w:rsid w:val="00867EE4"/>
    <w:rsid w:val="008B645D"/>
    <w:rsid w:val="00900B78"/>
    <w:rsid w:val="009448C5"/>
    <w:rsid w:val="00993024"/>
    <w:rsid w:val="009B6DAF"/>
    <w:rsid w:val="009C3D36"/>
    <w:rsid w:val="009D6FD8"/>
    <w:rsid w:val="00A53C61"/>
    <w:rsid w:val="00A86A3C"/>
    <w:rsid w:val="00AD2C6B"/>
    <w:rsid w:val="00AD6000"/>
    <w:rsid w:val="00BC5477"/>
    <w:rsid w:val="00BD2442"/>
    <w:rsid w:val="00BF1C55"/>
    <w:rsid w:val="00C04D89"/>
    <w:rsid w:val="00C212AE"/>
    <w:rsid w:val="00C2696C"/>
    <w:rsid w:val="00C57897"/>
    <w:rsid w:val="00C938F9"/>
    <w:rsid w:val="00C964BC"/>
    <w:rsid w:val="00CF37C8"/>
    <w:rsid w:val="00D42B78"/>
    <w:rsid w:val="00D472AD"/>
    <w:rsid w:val="00D66F76"/>
    <w:rsid w:val="00D670D9"/>
    <w:rsid w:val="00D707B7"/>
    <w:rsid w:val="00D907A2"/>
    <w:rsid w:val="00E1788D"/>
    <w:rsid w:val="00E36DA8"/>
    <w:rsid w:val="00E3750D"/>
    <w:rsid w:val="00EE1EFA"/>
    <w:rsid w:val="00EE3E34"/>
    <w:rsid w:val="00F0085A"/>
    <w:rsid w:val="00F26453"/>
    <w:rsid w:val="00F34E1A"/>
    <w:rsid w:val="00F44BCB"/>
    <w:rsid w:val="00F44D6E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C8F5034"/>
  <w15:docId w15:val="{408AF1A4-E97F-40D9-B335-30734F4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5C79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439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64343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43439"/>
    <w:pPr>
      <w:keepNext/>
      <w:ind w:left="720" w:firstLine="720"/>
      <w:outlineLvl w:val="2"/>
    </w:pPr>
    <w:rPr>
      <w:szCs w:val="20"/>
    </w:rPr>
  </w:style>
  <w:style w:type="paragraph" w:styleId="Heading5">
    <w:name w:val="heading 5"/>
    <w:basedOn w:val="Normal"/>
    <w:next w:val="Normal"/>
    <w:qFormat/>
    <w:rsid w:val="00643439"/>
    <w:pPr>
      <w:keepNext/>
      <w:ind w:left="6480" w:firstLine="720"/>
      <w:outlineLvl w:val="4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3439"/>
    <w:pPr>
      <w:jc w:val="center"/>
    </w:pPr>
    <w:rPr>
      <w:sz w:val="40"/>
    </w:rPr>
  </w:style>
  <w:style w:type="paragraph" w:styleId="Subtitle">
    <w:name w:val="Subtitle"/>
    <w:basedOn w:val="Normal"/>
    <w:qFormat/>
    <w:rsid w:val="00643439"/>
    <w:pPr>
      <w:jc w:val="center"/>
    </w:pPr>
    <w:rPr>
      <w:sz w:val="28"/>
    </w:rPr>
  </w:style>
  <w:style w:type="paragraph" w:styleId="Header">
    <w:name w:val="header"/>
    <w:basedOn w:val="Normal"/>
    <w:rsid w:val="006434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4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439"/>
    <w:rPr>
      <w:color w:val="0000FF"/>
      <w:u w:val="single"/>
    </w:rPr>
  </w:style>
  <w:style w:type="character" w:styleId="FollowedHyperlink">
    <w:name w:val="FollowedHyperlink"/>
    <w:basedOn w:val="DefaultParagraphFont"/>
    <w:rsid w:val="00643439"/>
    <w:rPr>
      <w:color w:val="800080"/>
      <w:u w:val="single"/>
    </w:rPr>
  </w:style>
  <w:style w:type="paragraph" w:styleId="BalloonText">
    <w:name w:val="Balloon Text"/>
    <w:basedOn w:val="Normal"/>
    <w:semiHidden/>
    <w:rsid w:val="00643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43439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236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4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ystalvining@atkinson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rgiastandards.org/scienc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</vt:lpstr>
    </vt:vector>
  </TitlesOfParts>
  <Company>ccboe</Company>
  <LinksUpToDate>false</LinksUpToDate>
  <CharactersWithSpaces>5822</CharactersWithSpaces>
  <SharedDoc>false</SharedDoc>
  <HLinks>
    <vt:vector size="6" baseType="variant"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http://www.georgiastandards.org/science.asp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</dc:title>
  <dc:subject/>
  <dc:creator>ccboe</dc:creator>
  <cp:keywords/>
  <dc:description/>
  <cp:lastModifiedBy>Chrystal Vining</cp:lastModifiedBy>
  <cp:revision>7</cp:revision>
  <cp:lastPrinted>2022-07-29T16:45:00Z</cp:lastPrinted>
  <dcterms:created xsi:type="dcterms:W3CDTF">2012-08-08T13:19:00Z</dcterms:created>
  <dcterms:modified xsi:type="dcterms:W3CDTF">2022-07-29T16:46:00Z</dcterms:modified>
</cp:coreProperties>
</file>