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6th/Writing Enrichment</w:t>
      </w:r>
      <w:r w:rsidDel="00000000" w:rsidR="00000000" w:rsidRPr="00000000">
        <w:rPr>
          <w:rFonts w:ascii="KG Fall For You" w:cs="KG Fall For You" w:eastAsia="KG Fall For You" w:hAnsi="KG Fall For You"/>
          <w:sz w:val="24"/>
          <w:szCs w:val="24"/>
          <w:rtl w:val="0"/>
        </w:rPr>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9/30-10/4/2024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read text and use comprehension skills to answer questions.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 character.</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read text and use comprehension skills to answer questions. </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 character.</w:t>
            </w:r>
          </w:p>
        </w:tc>
        <w:tc>
          <w:tcP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read text and use comprehension skills to answer questions. </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 character.</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read text and use comprehension skills to answer questions. </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 character.</w:t>
            </w:r>
          </w:p>
        </w:tc>
        <w:tc>
          <w:tcPr>
            <w:tcMar>
              <w:top w:w="72.0" w:type="dxa"/>
              <w:left w:w="101.0" w:type="dxa"/>
              <w:bottom w:w="72.0" w:type="dxa"/>
              <w:right w:w="101.0" w:type="dxa"/>
            </w:tcMar>
            <w:vAlign w:val="center"/>
          </w:tcPr>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I can read text and use comprehension skills to answer questions. </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 character.</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Sequence of Events</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Relationship of Characters</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Compare/Contrast</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 </w:t>
            </w:r>
          </w:p>
        </w:tc>
        <w:tc>
          <w:tcPr>
            <w:vAlign w:val="center"/>
          </w:tcPr>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Sequence of Events</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Relationship of Characters</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Compare/Contrast</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 </w:t>
            </w:r>
          </w:p>
        </w:tc>
        <w:tc>
          <w:tcPr>
            <w:vAlign w:val="center"/>
          </w:tcPr>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Sequence of Events</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Relationship of Characters</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Compare/Contrast</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 </w:t>
            </w:r>
          </w:p>
        </w:tc>
        <w:tc>
          <w:tcPr>
            <w:vAlign w:val="center"/>
          </w:tcPr>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Sequence of Events</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Relationship of Characters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Compare/Contrast</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 </w:t>
            </w:r>
          </w:p>
        </w:tc>
        <w:tc>
          <w:tcPr>
            <w:vAlign w:val="center"/>
          </w:tcPr>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Sequence of Events</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Relationship of Characters</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Compare/Contrast</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 </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D">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3E">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3F">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4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Comprehension</w:t>
            </w:r>
          </w:p>
        </w:tc>
        <w:tc>
          <w:tcPr>
            <w:tcMar>
              <w:top w:w="72.0" w:type="dxa"/>
              <w:left w:w="101.0" w:type="dxa"/>
              <w:bottom w:w="72.0" w:type="dxa"/>
              <w:right w:w="101.0" w:type="dxa"/>
            </w:tcMar>
            <w:vAlign w:val="center"/>
          </w:tcPr>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Comprehension</w:t>
            </w:r>
          </w:p>
        </w:tc>
        <w:tc>
          <w:tcPr>
            <w:tcMar>
              <w:top w:w="72.0" w:type="dxa"/>
              <w:left w:w="101.0" w:type="dxa"/>
              <w:bottom w:w="72.0" w:type="dxa"/>
              <w:right w:w="101.0" w:type="dxa"/>
            </w:tcMar>
            <w:vAlign w:val="center"/>
          </w:tcPr>
          <w:p w:rsidR="00000000" w:rsidDel="00000000" w:rsidP="00000000" w:rsidRDefault="00000000" w:rsidRPr="00000000" w14:paraId="0000004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Comprehension</w:t>
            </w:r>
          </w:p>
        </w:tc>
        <w:tc>
          <w:tcPr>
            <w:tcMar>
              <w:top w:w="72.0" w:type="dxa"/>
              <w:left w:w="101.0" w:type="dxa"/>
              <w:bottom w:w="72.0" w:type="dxa"/>
              <w:right w:w="101.0" w:type="dxa"/>
            </w:tcMar>
            <w:vAlign w:val="center"/>
          </w:tcPr>
          <w:p w:rsidR="00000000" w:rsidDel="00000000" w:rsidP="00000000" w:rsidRDefault="00000000" w:rsidRPr="00000000" w14:paraId="0000004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Comprehension</w:t>
            </w:r>
          </w:p>
        </w:tc>
        <w:tc>
          <w:tcPr>
            <w:tcMar>
              <w:top w:w="72.0" w:type="dxa"/>
              <w:left w:w="101.0" w:type="dxa"/>
              <w:bottom w:w="72.0" w:type="dxa"/>
              <w:right w:w="101.0" w:type="dxa"/>
            </w:tcMar>
            <w:vAlign w:val="center"/>
          </w:tcPr>
          <w:p w:rsidR="00000000" w:rsidDel="00000000" w:rsidP="00000000" w:rsidRDefault="00000000" w:rsidRPr="00000000" w14:paraId="0000004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Comprehension</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47">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highlight w:val="yellow"/>
                <w:u w:val="none"/>
                <w:vertAlign w:val="baseline"/>
              </w:rPr>
            </w:pPr>
            <w:r w:rsidDel="00000000" w:rsidR="00000000" w:rsidRPr="00000000">
              <w:rPr>
                <w:rFonts w:ascii="Arial" w:cs="Arial" w:eastAsia="Arial" w:hAnsi="Arial"/>
                <w:sz w:val="18"/>
                <w:szCs w:val="18"/>
                <w:rtl w:val="0"/>
              </w:rPr>
              <w:t xml:space="preserve">Students will take a practice checkpoint for ELA in StudySync. This will count as a </w:t>
            </w:r>
            <w:r w:rsidDel="00000000" w:rsidR="00000000" w:rsidRPr="00000000">
              <w:rPr>
                <w:rFonts w:ascii="Arial" w:cs="Arial" w:eastAsia="Arial" w:hAnsi="Arial"/>
                <w:sz w:val="18"/>
                <w:szCs w:val="18"/>
                <w:highlight w:val="yellow"/>
                <w:rtl w:val="0"/>
              </w:rPr>
              <w:t xml:space="preserve">daily grade.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Students will begin working on their narrative writing daily grade.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continue working on their narrative writing daily grade. </w:t>
            </w:r>
          </w:p>
        </w:tc>
        <w:tc>
          <w:tcPr>
            <w:tcMar>
              <w:top w:w="72.0" w:type="dxa"/>
              <w:left w:w="101.0" w:type="dxa"/>
              <w:bottom w:w="72.0" w:type="dxa"/>
              <w:right w:w="101.0" w:type="dxa"/>
            </w:tcMar>
            <w:vAlign w:val="center"/>
          </w:tcPr>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continue working on their narrative writing daily grade. </w:t>
            </w:r>
          </w:p>
        </w:tc>
        <w:tc>
          <w:tcPr>
            <w:tcMar>
              <w:top w:w="72.0" w:type="dxa"/>
              <w:left w:w="101.0" w:type="dxa"/>
              <w:bottom w:w="72.0" w:type="dxa"/>
              <w:right w:w="101.0" w:type="dxa"/>
            </w:tcM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finish their narrative writing </w:t>
            </w:r>
            <w:r w:rsidDel="00000000" w:rsidR="00000000" w:rsidRPr="00000000">
              <w:rPr>
                <w:rFonts w:ascii="Arial" w:cs="Arial" w:eastAsia="Arial" w:hAnsi="Arial"/>
                <w:sz w:val="18"/>
                <w:szCs w:val="18"/>
                <w:highlight w:val="yellow"/>
                <w:rtl w:val="0"/>
              </w:rPr>
              <w:t xml:space="preserve">daily grade.</w:t>
            </w:r>
            <w:r w:rsidDel="00000000" w:rsidR="00000000" w:rsidRPr="00000000">
              <w:rPr>
                <w:rFonts w:ascii="Arial" w:cs="Arial" w:eastAsia="Arial" w:hAnsi="Arial"/>
                <w:sz w:val="18"/>
                <w:szCs w:val="18"/>
                <w:rtl w:val="0"/>
              </w:rPr>
              <w:t xml:space="preserve"> </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E">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F">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review the practice checkpoint. </w:t>
            </w:r>
          </w:p>
        </w:tc>
        <w:tc>
          <w:tcP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review their narrative rubric.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review their narrative rubric. </w:t>
            </w:r>
          </w:p>
        </w:tc>
        <w:tc>
          <w:tcPr>
            <w:tcMar>
              <w:top w:w="72.0" w:type="dxa"/>
              <w:left w:w="101.0" w:type="dxa"/>
              <w:bottom w:w="72.0" w:type="dxa"/>
              <w:right w:w="101.0" w:type="dxa"/>
            </w:tcMar>
            <w:vAlign w:val="center"/>
          </w:tcPr>
          <w:p w:rsidR="00000000" w:rsidDel="00000000" w:rsidP="00000000" w:rsidRDefault="00000000" w:rsidRPr="00000000" w14:paraId="00000053">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Students will review their narrative rubric.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review their narrative rubric. </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5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5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941rqlwxa2wr"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5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lqgeuf9upd3" w:id="2"/>
            <w:bookmarkEnd w:id="2"/>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5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xz0g2nq39n" w:id="3"/>
            <w:bookmarkEnd w:id="3"/>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5A">
            <w:pPr>
              <w:pStyle w:val="Heading4"/>
              <w:keepNext w:val="0"/>
              <w:keepLines w:val="0"/>
              <w:shd w:fill="ffffff" w:val="clear"/>
              <w:spacing w:after="0" w:before="0" w:line="270" w:lineRule="auto"/>
              <w:rPr>
                <w:sz w:val="18"/>
                <w:szCs w:val="18"/>
              </w:rPr>
            </w:pPr>
            <w:bookmarkStart w:colFirst="0" w:colLast="0" w:name="_73c9hkvibdnn" w:id="4"/>
            <w:bookmarkEnd w:id="4"/>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5B">
            <w:pPr>
              <w:pStyle w:val="Heading4"/>
              <w:keepNext w:val="0"/>
              <w:keepLines w:val="0"/>
              <w:shd w:fill="ffffff" w:val="clear"/>
              <w:spacing w:after="0" w:before="0" w:line="270" w:lineRule="auto"/>
              <w:rPr>
                <w:rFonts w:ascii="Arial" w:cs="Arial" w:eastAsia="Arial" w:hAnsi="Arial"/>
                <w:sz w:val="18"/>
                <w:szCs w:val="18"/>
              </w:rPr>
            </w:pPr>
            <w:bookmarkStart w:colFirst="0" w:colLast="0" w:name="_5kmdn53dk6wa" w:id="5"/>
            <w:bookmarkEnd w:id="5"/>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5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ygrthz5bdyy" w:id="6"/>
            <w:bookmarkEnd w:id="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5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ntlh6vr02l" w:id="7"/>
            <w:bookmarkEnd w:id="7"/>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5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6gji23l015z" w:id="8"/>
            <w:bookmarkEnd w:id="8"/>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5F">
            <w:pPr>
              <w:pStyle w:val="Heading4"/>
              <w:keepNext w:val="0"/>
              <w:keepLines w:val="0"/>
              <w:shd w:fill="ffffff" w:val="clear"/>
              <w:spacing w:after="0" w:before="0" w:line="270" w:lineRule="auto"/>
              <w:rPr>
                <w:sz w:val="18"/>
                <w:szCs w:val="18"/>
              </w:rPr>
            </w:pPr>
            <w:bookmarkStart w:colFirst="0" w:colLast="0" w:name="_ua9tfxdwdbpr" w:id="9"/>
            <w:bookmarkEnd w:id="9"/>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60">
            <w:pPr>
              <w:pStyle w:val="Heading4"/>
              <w:keepNext w:val="0"/>
              <w:keepLines w:val="0"/>
              <w:shd w:fill="ffffff" w:val="clear"/>
              <w:spacing w:after="0" w:before="0" w:line="270" w:lineRule="auto"/>
              <w:rPr>
                <w:rFonts w:ascii="Arial" w:cs="Arial" w:eastAsia="Arial" w:hAnsi="Arial"/>
                <w:sz w:val="18"/>
                <w:szCs w:val="18"/>
              </w:rPr>
            </w:pPr>
            <w:bookmarkStart w:colFirst="0" w:colLast="0" w:name="_cnemx84mcylw" w:id="10"/>
            <w:bookmarkEnd w:id="10"/>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6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axj2lkipear" w:id="11"/>
            <w:bookmarkEnd w:id="1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sp38am71an8" w:id="12"/>
            <w:bookmarkEnd w:id="12"/>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3q5bw84c93b" w:id="13"/>
            <w:bookmarkEnd w:id="13"/>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64">
            <w:pPr>
              <w:pStyle w:val="Heading4"/>
              <w:keepNext w:val="0"/>
              <w:keepLines w:val="0"/>
              <w:shd w:fill="ffffff" w:val="clear"/>
              <w:spacing w:after="0" w:before="0" w:line="270" w:lineRule="auto"/>
              <w:rPr>
                <w:sz w:val="18"/>
                <w:szCs w:val="18"/>
              </w:rPr>
            </w:pPr>
            <w:bookmarkStart w:colFirst="0" w:colLast="0" w:name="_btfg41e58073" w:id="14"/>
            <w:bookmarkEnd w:id="14"/>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65">
            <w:pPr>
              <w:pStyle w:val="Heading4"/>
              <w:keepNext w:val="0"/>
              <w:keepLines w:val="0"/>
              <w:shd w:fill="ffffff" w:val="clear"/>
              <w:spacing w:after="0" w:before="0" w:line="270" w:lineRule="auto"/>
              <w:rPr>
                <w:rFonts w:ascii="Arial" w:cs="Arial" w:eastAsia="Arial" w:hAnsi="Arial"/>
                <w:sz w:val="18"/>
                <w:szCs w:val="18"/>
              </w:rPr>
            </w:pPr>
            <w:bookmarkStart w:colFirst="0" w:colLast="0" w:name="_n663265dcc9f" w:id="15"/>
            <w:bookmarkEnd w:id="15"/>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6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co6tn8qqjju" w:id="16"/>
            <w:bookmarkEnd w:id="1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c7e08r357ze" w:id="17"/>
            <w:bookmarkEnd w:id="17"/>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sbc2588s155" w:id="18"/>
            <w:bookmarkEnd w:id="18"/>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69">
            <w:pPr>
              <w:pStyle w:val="Heading4"/>
              <w:keepNext w:val="0"/>
              <w:keepLines w:val="0"/>
              <w:shd w:fill="ffffff" w:val="clear"/>
              <w:spacing w:after="0" w:before="0" w:line="270" w:lineRule="auto"/>
              <w:rPr>
                <w:sz w:val="18"/>
                <w:szCs w:val="18"/>
              </w:rPr>
            </w:pPr>
            <w:bookmarkStart w:colFirst="0" w:colLast="0" w:name="_6xrru0732w1v" w:id="19"/>
            <w:bookmarkEnd w:id="19"/>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6A">
            <w:pPr>
              <w:pStyle w:val="Heading4"/>
              <w:keepNext w:val="0"/>
              <w:keepLines w:val="0"/>
              <w:shd w:fill="ffffff" w:val="clear"/>
              <w:spacing w:after="0" w:before="0" w:line="270" w:lineRule="auto"/>
              <w:rPr>
                <w:rFonts w:ascii="Arial" w:cs="Arial" w:eastAsia="Arial" w:hAnsi="Arial"/>
                <w:sz w:val="18"/>
                <w:szCs w:val="18"/>
              </w:rPr>
            </w:pPr>
            <w:bookmarkStart w:colFirst="0" w:colLast="0" w:name="_z8luvqqcbjpn" w:id="20"/>
            <w:bookmarkEnd w:id="20"/>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6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36hhoga8ct6" w:id="21"/>
            <w:bookmarkEnd w:id="2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lxx5kc24u06" w:id="22"/>
            <w:bookmarkEnd w:id="22"/>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gtwge6qgv0y" w:id="23"/>
            <w:bookmarkEnd w:id="23"/>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6E">
            <w:pPr>
              <w:pStyle w:val="Heading4"/>
              <w:keepNext w:val="0"/>
              <w:keepLines w:val="0"/>
              <w:shd w:fill="ffffff" w:val="clear"/>
              <w:spacing w:after="0" w:before="0" w:line="270" w:lineRule="auto"/>
              <w:rPr>
                <w:sz w:val="18"/>
                <w:szCs w:val="18"/>
              </w:rPr>
            </w:pPr>
            <w:bookmarkStart w:colFirst="0" w:colLast="0" w:name="_dn5sd5sdeb60" w:id="24"/>
            <w:bookmarkEnd w:id="24"/>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6F">
            <w:pPr>
              <w:pStyle w:val="Heading4"/>
              <w:keepNext w:val="0"/>
              <w:keepLines w:val="0"/>
              <w:shd w:fill="ffffff" w:val="clear"/>
              <w:spacing w:after="0" w:before="0" w:line="270" w:lineRule="auto"/>
              <w:rPr>
                <w:rFonts w:ascii="Arial" w:cs="Arial" w:eastAsia="Arial" w:hAnsi="Arial"/>
                <w:sz w:val="18"/>
                <w:szCs w:val="18"/>
              </w:rPr>
            </w:pPr>
            <w:bookmarkStart w:colFirst="0" w:colLast="0" w:name="_a49a4vpwdg9" w:id="25"/>
            <w:bookmarkEnd w:id="25"/>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pencils</w:t>
            </w:r>
            <w:r w:rsidDel="00000000" w:rsidR="00000000" w:rsidRPr="00000000">
              <w:rPr>
                <w:rtl w:val="0"/>
              </w:rPr>
            </w:r>
          </w:p>
        </w:tc>
        <w:tc>
          <w:tcPr>
            <w:vAlign w:val="center"/>
          </w:tcPr>
          <w:p w:rsidR="00000000" w:rsidDel="00000000" w:rsidP="00000000" w:rsidRDefault="00000000" w:rsidRPr="00000000" w14:paraId="00000072">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pencils</w:t>
            </w:r>
            <w:r w:rsidDel="00000000" w:rsidR="00000000" w:rsidRPr="00000000">
              <w:rPr>
                <w:rtl w:val="0"/>
              </w:rPr>
            </w:r>
          </w:p>
        </w:tc>
        <w:tc>
          <w:tcPr>
            <w:vAlign w:val="center"/>
          </w:tcPr>
          <w:p w:rsidR="00000000" w:rsidDel="00000000" w:rsidP="00000000" w:rsidRDefault="00000000" w:rsidRPr="00000000" w14:paraId="00000073">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pencils</w:t>
            </w:r>
            <w:r w:rsidDel="00000000" w:rsidR="00000000" w:rsidRPr="00000000">
              <w:rPr>
                <w:rtl w:val="0"/>
              </w:rPr>
            </w:r>
          </w:p>
        </w:tc>
        <w:tc>
          <w:tcPr>
            <w:vAlign w:val="center"/>
          </w:tcPr>
          <w:p w:rsidR="00000000" w:rsidDel="00000000" w:rsidP="00000000" w:rsidRDefault="00000000" w:rsidRPr="00000000" w14:paraId="00000074">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pencils</w:t>
            </w:r>
            <w:r w:rsidDel="00000000" w:rsidR="00000000" w:rsidRPr="00000000">
              <w:rPr>
                <w:rtl w:val="0"/>
              </w:rPr>
            </w:r>
          </w:p>
        </w:tc>
        <w:tc>
          <w:tcPr>
            <w:vAlign w:val="center"/>
          </w:tcPr>
          <w:p w:rsidR="00000000" w:rsidDel="00000000" w:rsidP="00000000" w:rsidRDefault="00000000" w:rsidRPr="00000000" w14:paraId="00000075">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pencils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76">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7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19furnw09sm" w:id="26"/>
            <w:bookmarkEnd w:id="2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tish5pvzqpl" w:id="27"/>
            <w:bookmarkEnd w:id="27"/>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7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w3t5o2pygma" w:id="28"/>
            <w:bookmarkEnd w:id="28"/>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7A">
            <w:pPr>
              <w:pStyle w:val="Heading4"/>
              <w:keepNext w:val="0"/>
              <w:keepLines w:val="0"/>
              <w:shd w:fill="ffffff" w:val="clear"/>
              <w:spacing w:after="0" w:before="0" w:line="270" w:lineRule="auto"/>
              <w:rPr>
                <w:sz w:val="18"/>
                <w:szCs w:val="18"/>
              </w:rPr>
            </w:pPr>
            <w:bookmarkStart w:colFirst="0" w:colLast="0" w:name="_s2tfktscfw1l" w:id="29"/>
            <w:bookmarkEnd w:id="29"/>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7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o3b0po5mpb2" w:id="30"/>
            <w:bookmarkEnd w:id="30"/>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7C">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D">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w:t>
            </w: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Smartboard and Chromebooks</w:t>
            </w:r>
          </w:p>
        </w:tc>
        <w:tc>
          <w:tcPr>
            <w:gridSpan w:val="3"/>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Alabama ACAP Success Grade 6 English Language Arts Book by the American Book Company</w:t>
            </w:r>
          </w:p>
        </w:tc>
      </w:tr>
      <w:tr>
        <w:trPr>
          <w:cantSplit w:val="0"/>
          <w:trHeight w:val="296" w:hRule="atLeast"/>
          <w:tblHeader w:val="0"/>
        </w:trPr>
        <w:tc>
          <w:tcPr>
            <w:gridSpan w:val="6"/>
          </w:tcPr>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8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94">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