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04/07/2026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Zoom Meeting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7"/>
          <w:szCs w:val="27"/>
          <w:highlight w:val="white"/>
        </w:rPr>
      </w:pP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https://us06web.zoom.us/j/88668464900?pwd=WaGFmJ7RFE4LbV4THaQOZkWyWeBfU2.1</w:t>
      </w:r>
    </w:p>
    <w:p w:rsidR="00000000" w:rsidDel="00000000" w:rsidP="00000000" w:rsidRDefault="00000000" w:rsidRPr="00000000" w14:paraId="00000008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2025.03.17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shd w:fill="ffffff" w:val="clear"/>
        <w:spacing w:after="0" w:afterAutospacing="0" w:before="0" w:beforeAutospacing="0" w:lineRule="auto"/>
        <w:ind w:left="2160" w:hanging="360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2026.03 Finance Reports </w:t>
      </w:r>
    </w:p>
    <w:p w:rsidR="00000000" w:rsidDel="00000000" w:rsidP="00000000" w:rsidRDefault="00000000" w:rsidRPr="00000000" w14:paraId="00000015">
      <w:pPr>
        <w:numPr>
          <w:ilvl w:val="1"/>
          <w:numId w:val="10"/>
        </w:numPr>
        <w:shd w:fill="ffffff" w:val="clear"/>
        <w:spacing w:after="240" w:before="0" w:beforeAutospacing="0" w:lineRule="auto"/>
        <w:ind w:left="2160" w:hanging="360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FY26 11000 Final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ind w:left="288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FY 27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CSI School Status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Schools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Testing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 de Mayo Event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w2xlTHzDDNcYYzbpBEkAokZ/hQ==">CgMxLjA4AHIhMU1hbGlVcWRhOEZJVzlmOW5HRG1UeGpDZzIwWFg2VkRf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