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sz w:val="28"/>
          <w:szCs w:val="28"/>
          <w:rtl w:val="0"/>
        </w:rPr>
        <w:t xml:space="preserve">3rd Grade Retention Law Resources</w:t>
      </w:r>
    </w:p>
    <w:p w:rsidR="00000000" w:rsidDel="00000000" w:rsidP="00000000" w:rsidRDefault="00000000" w:rsidRPr="00000000" w14:paraId="00000002">
      <w:pPr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Poppins" w:cs="Poppins" w:eastAsia="Poppins" w:hAnsi="Poppins"/>
          <w:b w:val="1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sz w:val="26"/>
          <w:szCs w:val="26"/>
          <w:rtl w:val="0"/>
        </w:rPr>
        <w:t xml:space="preserve">Links Regarding Retention Research</w:t>
      </w:r>
    </w:p>
    <w:p w:rsidR="00000000" w:rsidDel="00000000" w:rsidP="00000000" w:rsidRDefault="00000000" w:rsidRPr="00000000" w14:paraId="00000004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oppins" w:cs="Poppins" w:eastAsia="Poppins" w:hAnsi="Poppins"/>
        </w:rPr>
      </w:pPr>
      <w:hyperlink r:id="rId6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https://education.uconn.edu/2021/10/20/grade-retention-after-covid-19-evidence-based-guidance/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Poppins" w:cs="Poppins" w:eastAsia="Poppins" w:hAnsi="Poppins"/>
        </w:rPr>
      </w:pPr>
      <w:hyperlink r:id="rId7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https://www.transylvaniatimes.com/education/grade-retention-is-harmful-to-children/article_3128b490-baab-557b-b1d1-82f790e06aef.html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Poppins" w:cs="Poppins" w:eastAsia="Poppins" w:hAnsi="Poppins"/>
        </w:rPr>
      </w:pPr>
      <w:hyperlink r:id="rId8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https://www.gse.harvard.edu/news/uk/17/07/when-kids-are-held-back-gains-can-follow#:~:text=They%20found%20that%20retention%20in,students%20who'd%20been%20promoted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Poppins" w:cs="Poppins" w:eastAsia="Poppins" w:hAnsi="Poppins"/>
        </w:rPr>
      </w:pPr>
      <w:hyperlink r:id="rId9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https://edtrust.org/resource/holding-students-back-an-inequitable-and-ineffective-response-to-unfinished-learning/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Poppins" w:cs="Poppins" w:eastAsia="Poppins" w:hAnsi="Poppins"/>
        </w:rPr>
      </w:pPr>
      <w:hyperlink r:id="rId10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https://www.ascd.org/el/articles/grade-retention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Poppins" w:cs="Poppins" w:eastAsia="Poppins" w:hAnsi="Poppins"/>
        </w:rPr>
      </w:pPr>
      <w:hyperlink r:id="rId11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https://www.healthychildren.org/English/ages-stages/gradeschool/school/Pages/Repeating-a-Grade.aspx#:~:text=Ideally%2C%20no.,as%2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Poppins" w:cs="Poppins" w:eastAsia="Poppins" w:hAnsi="Poppins"/>
          <w:b w:val="1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sz w:val="26"/>
          <w:szCs w:val="26"/>
          <w:rtl w:val="0"/>
        </w:rPr>
        <w:t xml:space="preserve">TN ELA Standards</w:t>
      </w:r>
    </w:p>
    <w:p w:rsidR="00000000" w:rsidDel="00000000" w:rsidP="00000000" w:rsidRDefault="00000000" w:rsidRPr="00000000" w14:paraId="00000013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Poppins" w:cs="Poppins" w:eastAsia="Poppins" w:hAnsi="Poppins"/>
        </w:rPr>
      </w:pPr>
      <w:hyperlink r:id="rId12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https://www.tn.gov/content/dam/tn/stateboardofeducation/documents/massivemeetingsfolder/meetingfiles4/10-20-17_III_J_Non-Substantive_Changes_to_Math_ELA__Science_Standards_Attachment_2_-_ELA.pdf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Poppins" w:cs="Poppins" w:eastAsia="Poppins" w:hAnsi="Poppins"/>
          <w:b w:val="1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sz w:val="26"/>
          <w:szCs w:val="26"/>
          <w:rtl w:val="0"/>
        </w:rPr>
        <w:t xml:space="preserve">Resources</w:t>
      </w:r>
    </w:p>
    <w:p w:rsidR="00000000" w:rsidDel="00000000" w:rsidP="00000000" w:rsidRDefault="00000000" w:rsidRPr="00000000" w14:paraId="0000001C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Tennessee Department of Education: </w:t>
      </w:r>
      <w:hyperlink r:id="rId13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https://www.tn.gov/education/assessment/tnready/tnready-ela.html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Family Report Site: </w:t>
      </w:r>
      <w:hyperlink r:id="rId14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https://familyreport.tnedu.gov/login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LiveBinders: </w:t>
      </w:r>
      <w:hyperlink r:id="rId15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https://www.livebinders.com/b/2426642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At-Home Decodable Reading Series: </w:t>
      </w:r>
      <w:hyperlink r:id="rId16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https://www.tn.gov/education/decodables.html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Third Grade Remediation Toolkit:</w:t>
      </w:r>
    </w:p>
    <w:p w:rsidR="00000000" w:rsidDel="00000000" w:rsidP="00000000" w:rsidRDefault="00000000" w:rsidRPr="00000000" w14:paraId="00000026">
      <w:pPr>
        <w:rPr>
          <w:rFonts w:ascii="Poppins" w:cs="Poppins" w:eastAsia="Poppins" w:hAnsi="Poppins"/>
        </w:rPr>
      </w:pPr>
      <w:hyperlink r:id="rId17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https://www.tn.gov/content/dam/tn/education/2020-21-leg-session/Third%20Grade%20Remediation%20Toolkit.pdf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FAQ:</w:t>
      </w:r>
    </w:p>
    <w:p w:rsidR="00000000" w:rsidDel="00000000" w:rsidP="00000000" w:rsidRDefault="00000000" w:rsidRPr="00000000" w14:paraId="00000029">
      <w:pPr>
        <w:rPr>
          <w:rFonts w:ascii="Poppins" w:cs="Poppins" w:eastAsia="Poppins" w:hAnsi="Poppins"/>
        </w:rPr>
      </w:pPr>
      <w:hyperlink r:id="rId18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https://www.tn.gov/content/dam/tn/education/2020-21-leg-session/FAQ%20Third%20Grade%20Promotion%20and%20Retention.pdf</w:t>
        </w:r>
      </w:hyperlink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Poppins" w:cs="Poppins" w:eastAsia="Poppins" w:hAnsi="Poppins"/>
          <w:highlight w:val="yellow"/>
        </w:rPr>
      </w:pPr>
      <w:r w:rsidDel="00000000" w:rsidR="00000000" w:rsidRPr="00000000">
        <w:rPr>
          <w:rFonts w:ascii="Poppins" w:cs="Poppins" w:eastAsia="Poppins" w:hAnsi="Poppins"/>
          <w:highlight w:val="yellow"/>
          <w:rtl w:val="0"/>
        </w:rPr>
        <w:t xml:space="preserve">Practice TCAP Assessments</w:t>
      </w:r>
    </w:p>
    <w:p w:rsidR="00000000" w:rsidDel="00000000" w:rsidP="00000000" w:rsidRDefault="00000000" w:rsidRPr="00000000" w14:paraId="0000002C">
      <w:pPr>
        <w:rPr>
          <w:rFonts w:ascii="Poppins" w:cs="Poppins" w:eastAsia="Poppins" w:hAnsi="Poppins"/>
        </w:rPr>
      </w:pPr>
      <w:hyperlink r:id="rId19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https://www.livebinders.com/b/2426642#anchor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Poppins" w:cs="Poppins" w:eastAsia="Poppins" w:hAnsi="Poppins"/>
          <w:b w:val="1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sz w:val="26"/>
          <w:szCs w:val="26"/>
          <w:rtl w:val="0"/>
        </w:rPr>
        <w:t xml:space="preserve">State Legislatures</w:t>
      </w:r>
    </w:p>
    <w:p w:rsidR="00000000" w:rsidDel="00000000" w:rsidP="00000000" w:rsidRDefault="00000000" w:rsidRPr="00000000" w14:paraId="00000030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Senator Janice Bowling: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Poppins" w:cs="Poppins" w:eastAsia="Poppins" w:hAnsi="Poppins"/>
        </w:rPr>
      </w:pPr>
      <w:hyperlink r:id="rId20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https://wapp.capitol.tn.gov/apps/legislatorinfo/member.aspx?district=S16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Representative Rush Bricken: </w:t>
      </w:r>
    </w:p>
    <w:p w:rsidR="00000000" w:rsidDel="00000000" w:rsidP="00000000" w:rsidRDefault="00000000" w:rsidRPr="00000000" w14:paraId="00000035">
      <w:pPr>
        <w:rPr>
          <w:rFonts w:ascii="Poppins" w:cs="Poppins" w:eastAsia="Poppins" w:hAnsi="Poppins"/>
        </w:rPr>
      </w:pPr>
      <w:hyperlink r:id="rId21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https://wapp.capitol.tn.gov/apps/legislatorinfo/member.aspx?district=H47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Poppins" w:cs="Poppins" w:eastAsia="Poppins" w:hAnsi="Poppins"/>
          <w:b w:val="1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sz w:val="26"/>
          <w:szCs w:val="26"/>
          <w:rtl w:val="0"/>
        </w:rPr>
        <w:t xml:space="preserve">Coffee County 3rd Grade Retention Resolution</w:t>
      </w:r>
    </w:p>
    <w:p w:rsidR="00000000" w:rsidDel="00000000" w:rsidP="00000000" w:rsidRDefault="00000000" w:rsidRPr="00000000" w14:paraId="00000038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Go to October 10, 2022 and click on 29 Resolution-3rd Grade Retention.pdf</w:t>
      </w:r>
    </w:p>
    <w:p w:rsidR="00000000" w:rsidDel="00000000" w:rsidP="00000000" w:rsidRDefault="00000000" w:rsidRPr="00000000" w14:paraId="00000039">
      <w:pPr>
        <w:rPr>
          <w:rFonts w:ascii="Poppins" w:cs="Poppins" w:eastAsia="Poppins" w:hAnsi="Poppins"/>
        </w:rPr>
      </w:pPr>
      <w:hyperlink r:id="rId22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https://board.k12coffee.net/board-meetings-2022-2023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2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app.capitol.tn.gov/apps/legislatorinfo/member.aspx?district=S16" TargetMode="External"/><Relationship Id="rId11" Type="http://schemas.openxmlformats.org/officeDocument/2006/relationships/hyperlink" Target="https://www.healthychildren.org/English/ages-stages/gradeschool/school/Pages/Repeating-a-Grade.aspx#:~:text=Ideally%2C%20no.,as%2" TargetMode="External"/><Relationship Id="rId22" Type="http://schemas.openxmlformats.org/officeDocument/2006/relationships/hyperlink" Target="https://board.k12coffee.net/board-meetings-2022-2023" TargetMode="External"/><Relationship Id="rId10" Type="http://schemas.openxmlformats.org/officeDocument/2006/relationships/hyperlink" Target="https://www.ascd.org/el/articles/grade-retention" TargetMode="External"/><Relationship Id="rId21" Type="http://schemas.openxmlformats.org/officeDocument/2006/relationships/hyperlink" Target="https://wapp.capitol.tn.gov/apps/legislatorinfo/member.aspx?district=H47" TargetMode="External"/><Relationship Id="rId13" Type="http://schemas.openxmlformats.org/officeDocument/2006/relationships/hyperlink" Target="https://www.tn.gov/education/assessment/tnready/tnready-ela.html" TargetMode="External"/><Relationship Id="rId12" Type="http://schemas.openxmlformats.org/officeDocument/2006/relationships/hyperlink" Target="https://www.tn.gov/content/dam/tn/stateboardofeducation/documents/massivemeetingsfolder/meetingfiles4/10-20-17_III_J_Non-Substantive_Changes_to_Math_ELA__Science_Standards_Attachment_2_-_ELA.pdf" TargetMode="Externa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dtrust.org/resource/holding-students-back-an-inequitable-and-ineffective-response-to-unfinished-learning/" TargetMode="External"/><Relationship Id="rId15" Type="http://schemas.openxmlformats.org/officeDocument/2006/relationships/hyperlink" Target="https://www.livebinders.com/b/2426642" TargetMode="External"/><Relationship Id="rId14" Type="http://schemas.openxmlformats.org/officeDocument/2006/relationships/hyperlink" Target="https://familyreport.tnedu.gov/login" TargetMode="External"/><Relationship Id="rId17" Type="http://schemas.openxmlformats.org/officeDocument/2006/relationships/hyperlink" Target="https://www.tn.gov/content/dam/tn/education/2020-21-leg-session/Third%20Grade%20Remediation%20Toolkit.pdf" TargetMode="External"/><Relationship Id="rId16" Type="http://schemas.openxmlformats.org/officeDocument/2006/relationships/hyperlink" Target="https://www.tn.gov/education/decodables.html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livebinders.com/b/2426642#anchor" TargetMode="External"/><Relationship Id="rId6" Type="http://schemas.openxmlformats.org/officeDocument/2006/relationships/hyperlink" Target="https://education.uconn.edu/2021/10/20/grade-retention-after-covid-19-evidence-based-guidance/" TargetMode="External"/><Relationship Id="rId18" Type="http://schemas.openxmlformats.org/officeDocument/2006/relationships/hyperlink" Target="https://www.tn.gov/content/dam/tn/education/2020-21-leg-session/FAQ%20Third%20Grade%20Promotion%20and%20Retention.pdf" TargetMode="External"/><Relationship Id="rId7" Type="http://schemas.openxmlformats.org/officeDocument/2006/relationships/hyperlink" Target="https://www.transylvaniatimes.com/education/grade-retention-is-harmful-to-children/article_3128b490-baab-557b-b1d1-82f790e06aef.html" TargetMode="External"/><Relationship Id="rId8" Type="http://schemas.openxmlformats.org/officeDocument/2006/relationships/hyperlink" Target="https://www.gse.harvard.edu/news/uk/17/07/when-kids-are-held-back-gains-can-follow#:~:text=They%20found%20that%20retention%20in,students%20who'd%20been%20promote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