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Changes to graduation requirements for the class of 2027.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Elect Board Chair and Co-Chair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Division 22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new newspaper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Integrated Guidance Annual Report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