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E204" w14:textId="77777777" w:rsidR="003C32EE" w:rsidRDefault="001D17FD">
      <w:pPr>
        <w:pBdr>
          <w:top w:val="nil"/>
          <w:left w:val="nil"/>
          <w:bottom w:val="nil"/>
          <w:right w:val="nil"/>
          <w:between w:val="nil"/>
        </w:pBdr>
        <w:ind w:left="111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5A654029" wp14:editId="795B46F9">
                <wp:extent cx="5989955" cy="21399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785" y="3677765"/>
                          <a:ext cx="5980430" cy="204470"/>
                        </a:xfrm>
                        <a:prstGeom prst="rect">
                          <a:avLst/>
                        </a:prstGeom>
                        <a:solidFill>
                          <a:srgbClr val="A7A8A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BEB5BE" w14:textId="77777777" w:rsidR="003C32EE" w:rsidRDefault="001D17FD">
                            <w:pPr>
                              <w:spacing w:line="320" w:lineRule="auto"/>
                              <w:ind w:left="27" w:firstLine="27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SAU #7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Policy: IHBG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89955" cy="21399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955" cy="2139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7C0BF20" w14:textId="77777777" w:rsidR="003C32EE" w:rsidRDefault="003C32E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6"/>
          <w:szCs w:val="6"/>
        </w:rPr>
      </w:pPr>
    </w:p>
    <w:p w14:paraId="0870D1EC" w14:textId="77777777" w:rsidR="003C32EE" w:rsidRDefault="001D17FD">
      <w:pPr>
        <w:pStyle w:val="Heading1"/>
        <w:spacing w:before="89"/>
        <w:ind w:firstLine="608"/>
      </w:pPr>
      <w:r>
        <w:t>HOME EDUCATION INSTRUCTION &amp;</w:t>
      </w:r>
    </w:p>
    <w:p w14:paraId="6B31ED0D" w14:textId="77777777" w:rsidR="003C32EE" w:rsidRDefault="001D17FD">
      <w:pPr>
        <w:spacing w:line="322" w:lineRule="auto"/>
        <w:ind w:left="608" w:right="6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ACCESS TO CURRICULAR AND CO-CURRICULAR PROGRAMS</w:t>
      </w:r>
    </w:p>
    <w:p w14:paraId="755FECE7" w14:textId="77777777" w:rsidR="003C32EE" w:rsidRDefault="003C32E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3"/>
          <w:szCs w:val="23"/>
        </w:rPr>
      </w:pPr>
    </w:p>
    <w:p w14:paraId="7C104A62" w14:textId="77777777" w:rsidR="003C32EE" w:rsidRDefault="001D17FD">
      <w:pPr>
        <w:ind w:left="140"/>
        <w:rPr>
          <w:i/>
          <w:sz w:val="24"/>
          <w:szCs w:val="24"/>
        </w:rPr>
      </w:pPr>
      <w:r>
        <w:rPr>
          <w:i/>
          <w:sz w:val="24"/>
          <w:szCs w:val="24"/>
        </w:rPr>
        <w:t>Category: R</w:t>
      </w:r>
    </w:p>
    <w:p w14:paraId="1802842B" w14:textId="77777777" w:rsidR="003C32EE" w:rsidRDefault="001D17FD">
      <w:pPr>
        <w:spacing w:before="1"/>
        <w:ind w:left="139" w:right="490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Related Polies: Policies AC, JJJ, JJA &amp; JF </w:t>
      </w:r>
    </w:p>
    <w:p w14:paraId="3395351F" w14:textId="77777777" w:rsidR="003C32EE" w:rsidRDefault="003C32E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i/>
          <w:color w:val="000000"/>
          <w:sz w:val="38"/>
          <w:szCs w:val="38"/>
        </w:rPr>
      </w:pPr>
    </w:p>
    <w:p w14:paraId="7E23B562" w14:textId="77777777" w:rsidR="003C32EE" w:rsidRDefault="001D17FD">
      <w:pPr>
        <w:shd w:val="clear" w:color="auto" w:fill="FFFFFF"/>
        <w:spacing w:after="180"/>
        <w:rPr>
          <w:color w:val="212529"/>
          <w:sz w:val="23"/>
          <w:szCs w:val="23"/>
        </w:rPr>
      </w:pPr>
      <w:r>
        <w:rPr>
          <w:color w:val="212529"/>
          <w:sz w:val="23"/>
          <w:szCs w:val="23"/>
        </w:rPr>
        <w:t>Home Education is an alternative to compulsory attendance at a public or private school and is an individualized form of instruction in accordance with New Hampshire RSA 193-A and Department of Education Rule Part 315 (Ed 315).  Parents or guardians may es</w:t>
      </w:r>
      <w:r>
        <w:rPr>
          <w:color w:val="212529"/>
          <w:sz w:val="23"/>
          <w:szCs w:val="23"/>
        </w:rPr>
        <w:t xml:space="preserve">tablish a home education program for any child, including one who is an "educationally disabled child" as defined under RSA 186-C:2, I, whether or not such child is previously enrolled in a school of the </w:t>
      </w:r>
      <w:proofErr w:type="gramStart"/>
      <w:r>
        <w:rPr>
          <w:color w:val="212529"/>
          <w:sz w:val="23"/>
          <w:szCs w:val="23"/>
        </w:rPr>
        <w:t>District</w:t>
      </w:r>
      <w:proofErr w:type="gramEnd"/>
      <w:r>
        <w:rPr>
          <w:color w:val="212529"/>
          <w:sz w:val="23"/>
          <w:szCs w:val="23"/>
        </w:rPr>
        <w:t>. When and how parents/guardians determine t</w:t>
      </w:r>
      <w:r>
        <w:rPr>
          <w:color w:val="212529"/>
          <w:sz w:val="23"/>
          <w:szCs w:val="23"/>
        </w:rPr>
        <w:t xml:space="preserve">o commence a home education program, and other choices the parents/guardians make, determine whether and the extent to which the </w:t>
      </w:r>
      <w:proofErr w:type="gramStart"/>
      <w:r>
        <w:rPr>
          <w:color w:val="212529"/>
          <w:sz w:val="23"/>
          <w:szCs w:val="23"/>
        </w:rPr>
        <w:t>District</w:t>
      </w:r>
      <w:proofErr w:type="gramEnd"/>
      <w:r>
        <w:rPr>
          <w:color w:val="212529"/>
          <w:sz w:val="23"/>
          <w:szCs w:val="23"/>
        </w:rPr>
        <w:t xml:space="preserve"> will have responsibilities relative to the home educated child(ren). </w:t>
      </w:r>
    </w:p>
    <w:p w14:paraId="3AF2699D" w14:textId="77777777" w:rsidR="003C32EE" w:rsidRDefault="001D17FD">
      <w:pPr>
        <w:shd w:val="clear" w:color="auto" w:fill="FFFFFF"/>
        <w:spacing w:after="180"/>
        <w:rPr>
          <w:color w:val="212529"/>
          <w:sz w:val="23"/>
          <w:szCs w:val="23"/>
        </w:rPr>
      </w:pPr>
      <w:r>
        <w:rPr>
          <w:color w:val="212529"/>
          <w:sz w:val="23"/>
          <w:szCs w:val="23"/>
        </w:rPr>
        <w:t>This policy is intended to help District personn</w:t>
      </w:r>
      <w:r>
        <w:rPr>
          <w:color w:val="212529"/>
          <w:sz w:val="23"/>
          <w:szCs w:val="23"/>
        </w:rPr>
        <w:t xml:space="preserve">el and home education families within the </w:t>
      </w:r>
      <w:proofErr w:type="gramStart"/>
      <w:r>
        <w:rPr>
          <w:color w:val="212529"/>
          <w:sz w:val="23"/>
          <w:szCs w:val="23"/>
        </w:rPr>
        <w:t>District</w:t>
      </w:r>
      <w:proofErr w:type="gramEnd"/>
      <w:r>
        <w:rPr>
          <w:color w:val="212529"/>
          <w:sz w:val="23"/>
          <w:szCs w:val="23"/>
        </w:rPr>
        <w:t xml:space="preserve"> understand those responsibilities based upon the family's choices.  Nothing in this policy, however, should be understood to infringe upon the parent's/guardian's right under the applicable statutes or Dep</w:t>
      </w:r>
      <w:r>
        <w:rPr>
          <w:color w:val="212529"/>
          <w:sz w:val="23"/>
          <w:szCs w:val="23"/>
        </w:rPr>
        <w:t>artment of Education rules.</w:t>
      </w:r>
    </w:p>
    <w:p w14:paraId="00CA6D01" w14:textId="77777777" w:rsidR="003C32EE" w:rsidRDefault="001D17FD">
      <w:pPr>
        <w:shd w:val="clear" w:color="auto" w:fill="FFFFFF"/>
        <w:tabs>
          <w:tab w:val="left" w:pos="360"/>
        </w:tabs>
        <w:spacing w:after="180"/>
        <w:ind w:left="360" w:hanging="360"/>
        <w:rPr>
          <w:color w:val="212529"/>
          <w:sz w:val="23"/>
          <w:szCs w:val="23"/>
        </w:rPr>
      </w:pPr>
      <w:r>
        <w:rPr>
          <w:b/>
          <w:color w:val="212529"/>
          <w:sz w:val="23"/>
          <w:szCs w:val="23"/>
        </w:rPr>
        <w:t>A.  </w:t>
      </w:r>
      <w:r>
        <w:rPr>
          <w:b/>
          <w:color w:val="212529"/>
          <w:sz w:val="23"/>
          <w:szCs w:val="23"/>
          <w:u w:val="single"/>
        </w:rPr>
        <w:t>Parent/Guardian Selection of a Participating Agency.</w:t>
      </w:r>
    </w:p>
    <w:p w14:paraId="70C45EFB" w14:textId="77777777" w:rsidR="003C32EE" w:rsidRDefault="001D17F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720"/>
        <w:rPr>
          <w:color w:val="212529"/>
          <w:sz w:val="23"/>
          <w:szCs w:val="23"/>
        </w:rPr>
      </w:pPr>
      <w:r>
        <w:rPr>
          <w:color w:val="212529"/>
          <w:sz w:val="23"/>
          <w:szCs w:val="23"/>
          <w:u w:val="single"/>
        </w:rPr>
        <w:t>Selection of a Participating Agency</w:t>
      </w:r>
      <w:r>
        <w:rPr>
          <w:color w:val="212529"/>
          <w:sz w:val="23"/>
          <w:szCs w:val="23"/>
        </w:rPr>
        <w:t xml:space="preserve">.  One of the most significant decisions the parents/guardians make relative to a home education program is the selection of a "participating agency" for home education program notification and support.  This decision will also largely govern the </w:t>
      </w:r>
      <w:proofErr w:type="gramStart"/>
      <w:r>
        <w:rPr>
          <w:color w:val="212529"/>
          <w:sz w:val="23"/>
          <w:szCs w:val="23"/>
        </w:rPr>
        <w:t>District'</w:t>
      </w:r>
      <w:r>
        <w:rPr>
          <w:color w:val="212529"/>
          <w:sz w:val="23"/>
          <w:szCs w:val="23"/>
        </w:rPr>
        <w:t>s</w:t>
      </w:r>
      <w:proofErr w:type="gramEnd"/>
      <w:r>
        <w:rPr>
          <w:color w:val="212529"/>
          <w:sz w:val="23"/>
          <w:szCs w:val="23"/>
        </w:rPr>
        <w:t xml:space="preserve"> obligations during the home education program. </w:t>
      </w:r>
    </w:p>
    <w:p w14:paraId="387CB60D" w14:textId="77777777" w:rsidR="003C32EE" w:rsidRDefault="001D17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ind w:left="860" w:hanging="360"/>
        <w:rPr>
          <w:color w:val="212529"/>
          <w:sz w:val="23"/>
          <w:szCs w:val="23"/>
        </w:rPr>
      </w:pPr>
      <w:r>
        <w:rPr>
          <w:color w:val="212529"/>
          <w:sz w:val="23"/>
          <w:szCs w:val="23"/>
        </w:rPr>
        <w:t>The parent/guardian decides which participating agency to select, from the following:</w:t>
      </w:r>
    </w:p>
    <w:p w14:paraId="2360E146" w14:textId="77777777" w:rsidR="003C32EE" w:rsidRDefault="001D17FD">
      <w:pPr>
        <w:shd w:val="clear" w:color="auto" w:fill="FFFFFF"/>
        <w:spacing w:after="180"/>
        <w:ind w:left="1080" w:hanging="360"/>
        <w:rPr>
          <w:color w:val="212529"/>
          <w:sz w:val="23"/>
          <w:szCs w:val="23"/>
        </w:rPr>
      </w:pPr>
      <w:r>
        <w:rPr>
          <w:color w:val="212529"/>
          <w:sz w:val="23"/>
          <w:szCs w:val="23"/>
        </w:rPr>
        <w:t>a.</w:t>
      </w:r>
      <w:r>
        <w:rPr>
          <w:color w:val="212529"/>
          <w:sz w:val="23"/>
          <w:szCs w:val="23"/>
        </w:rPr>
        <w:tab/>
        <w:t xml:space="preserve">The Commissioner of the Department of </w:t>
      </w:r>
      <w:proofErr w:type="gramStart"/>
      <w:r>
        <w:rPr>
          <w:color w:val="212529"/>
          <w:sz w:val="23"/>
          <w:szCs w:val="23"/>
        </w:rPr>
        <w:t>Education;</w:t>
      </w:r>
      <w:proofErr w:type="gramEnd"/>
    </w:p>
    <w:p w14:paraId="56AEF805" w14:textId="77777777" w:rsidR="003C32EE" w:rsidRDefault="001D17FD">
      <w:pPr>
        <w:shd w:val="clear" w:color="auto" w:fill="FFFFFF"/>
        <w:spacing w:after="180"/>
        <w:ind w:left="1080" w:hanging="360"/>
        <w:rPr>
          <w:color w:val="212529"/>
          <w:sz w:val="23"/>
          <w:szCs w:val="23"/>
        </w:rPr>
      </w:pPr>
      <w:r>
        <w:rPr>
          <w:color w:val="212529"/>
          <w:sz w:val="23"/>
          <w:szCs w:val="23"/>
        </w:rPr>
        <w:t>b.   The resident district Superintendent ("District"); or</w:t>
      </w:r>
    </w:p>
    <w:p w14:paraId="116DBD7F" w14:textId="77777777" w:rsidR="003C32EE" w:rsidRDefault="001D17FD">
      <w:pPr>
        <w:shd w:val="clear" w:color="auto" w:fill="FFFFFF"/>
        <w:spacing w:after="180"/>
        <w:ind w:left="1080" w:hanging="360"/>
        <w:rPr>
          <w:color w:val="212529"/>
          <w:sz w:val="23"/>
          <w:szCs w:val="23"/>
        </w:rPr>
      </w:pPr>
      <w:r>
        <w:rPr>
          <w:color w:val="212529"/>
          <w:sz w:val="23"/>
          <w:szCs w:val="23"/>
        </w:rPr>
        <w:t>c.   The head of a nonpublic school.</w:t>
      </w:r>
    </w:p>
    <w:p w14:paraId="3A0B7745" w14:textId="77777777" w:rsidR="003C32EE" w:rsidRDefault="001D17FD">
      <w:pPr>
        <w:shd w:val="clear" w:color="auto" w:fill="FFFFFF"/>
        <w:spacing w:after="180"/>
        <w:ind w:left="720"/>
        <w:rPr>
          <w:color w:val="212529"/>
          <w:sz w:val="23"/>
          <w:szCs w:val="23"/>
        </w:rPr>
      </w:pPr>
      <w:r>
        <w:rPr>
          <w:color w:val="212529"/>
          <w:sz w:val="23"/>
          <w:szCs w:val="23"/>
        </w:rPr>
        <w:t>The selected participating agency shall work with the parents/guardians upon request to meet the essential requirements of a home education program as set out i</w:t>
      </w:r>
      <w:r>
        <w:rPr>
          <w:color w:val="212529"/>
          <w:sz w:val="23"/>
          <w:szCs w:val="23"/>
        </w:rPr>
        <w:t>n RSA 193-A:4, I.</w:t>
      </w:r>
    </w:p>
    <w:p w14:paraId="64EB6C81" w14:textId="77777777" w:rsidR="003C32EE" w:rsidRDefault="001D17F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720"/>
        <w:rPr>
          <w:color w:val="212529"/>
          <w:sz w:val="23"/>
          <w:szCs w:val="23"/>
        </w:rPr>
      </w:pPr>
      <w:r>
        <w:rPr>
          <w:color w:val="212529"/>
          <w:sz w:val="23"/>
          <w:szCs w:val="23"/>
          <w:u w:val="single"/>
        </w:rPr>
        <w:t>Changing Participating Agency</w:t>
      </w:r>
      <w:r>
        <w:rPr>
          <w:color w:val="212529"/>
          <w:sz w:val="23"/>
          <w:szCs w:val="23"/>
        </w:rPr>
        <w:t xml:space="preserve">.  At any time, the parents/guardians may select a different, valid, participating agency. To do so, the parents/guardians must provide notice to the new participating agency in the same manner as outlined in </w:t>
      </w:r>
      <w:r>
        <w:rPr>
          <w:color w:val="212529"/>
          <w:sz w:val="23"/>
          <w:szCs w:val="23"/>
        </w:rPr>
        <w:t>Section B.2, below.</w:t>
      </w:r>
    </w:p>
    <w:p w14:paraId="36AE73EB" w14:textId="77777777" w:rsidR="003C32EE" w:rsidRDefault="001D17F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720"/>
        <w:rPr>
          <w:b/>
          <w:color w:val="212529"/>
          <w:sz w:val="23"/>
          <w:szCs w:val="23"/>
        </w:rPr>
      </w:pPr>
      <w:r>
        <w:rPr>
          <w:color w:val="212529"/>
          <w:sz w:val="23"/>
          <w:szCs w:val="23"/>
          <w:u w:val="single"/>
        </w:rPr>
        <w:t>District Obligations Relative to Selection of Participating Agency.</w:t>
      </w:r>
      <w:r>
        <w:rPr>
          <w:color w:val="212529"/>
          <w:sz w:val="23"/>
          <w:szCs w:val="23"/>
        </w:rPr>
        <w:t>  If the selected participating agency is the resident district Superintendent, the District shall provide evaluation services as discussed in Section C, below. If the r</w:t>
      </w:r>
      <w:r>
        <w:rPr>
          <w:color w:val="212529"/>
          <w:sz w:val="23"/>
          <w:szCs w:val="23"/>
        </w:rPr>
        <w:t>esident district Superintendent is </w:t>
      </w:r>
      <w:r>
        <w:rPr>
          <w:i/>
          <w:color w:val="212529"/>
          <w:sz w:val="23"/>
          <w:szCs w:val="23"/>
        </w:rPr>
        <w:t>not</w:t>
      </w:r>
      <w:r>
        <w:rPr>
          <w:color w:val="212529"/>
          <w:sz w:val="23"/>
          <w:szCs w:val="23"/>
        </w:rPr>
        <w:t xml:space="preserve"> selected as the participating agency, the </w:t>
      </w:r>
      <w:proofErr w:type="gramStart"/>
      <w:r>
        <w:rPr>
          <w:color w:val="212529"/>
          <w:sz w:val="23"/>
          <w:szCs w:val="23"/>
        </w:rPr>
        <w:t>District</w:t>
      </w:r>
      <w:proofErr w:type="gramEnd"/>
      <w:r>
        <w:rPr>
          <w:color w:val="212529"/>
          <w:sz w:val="23"/>
          <w:szCs w:val="23"/>
        </w:rPr>
        <w:t xml:space="preserve"> may, but is not obligated to, provide evaluation services.  However, the District shall, </w:t>
      </w:r>
      <w:r>
        <w:rPr>
          <w:b/>
          <w:color w:val="212529"/>
          <w:sz w:val="23"/>
          <w:szCs w:val="23"/>
        </w:rPr>
        <w:t>“</w:t>
      </w:r>
      <w:r>
        <w:rPr>
          <w:color w:val="212529"/>
          <w:sz w:val="23"/>
          <w:szCs w:val="23"/>
        </w:rPr>
        <w:t xml:space="preserve">work with parents </w:t>
      </w:r>
      <w:r>
        <w:rPr>
          <w:b/>
          <w:i/>
          <w:color w:val="212529"/>
          <w:sz w:val="23"/>
          <w:szCs w:val="23"/>
        </w:rPr>
        <w:t>upon request</w:t>
      </w:r>
      <w:r>
        <w:rPr>
          <w:b/>
          <w:color w:val="212529"/>
          <w:sz w:val="23"/>
          <w:szCs w:val="23"/>
        </w:rPr>
        <w:t xml:space="preserve"> </w:t>
      </w:r>
      <w:r>
        <w:rPr>
          <w:color w:val="212529"/>
          <w:sz w:val="23"/>
          <w:szCs w:val="23"/>
        </w:rPr>
        <w:t xml:space="preserve">to meet the requirements of [RSA 193-A:4]. (See RSA 193-A:4, II, emphasis added.)  </w:t>
      </w:r>
    </w:p>
    <w:p w14:paraId="5DA1DD27" w14:textId="77777777" w:rsidR="003C32EE" w:rsidRDefault="003C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5AE18C1" w14:textId="77777777" w:rsidR="003C32EE" w:rsidRDefault="003C32EE">
      <w:pPr>
        <w:spacing w:before="158"/>
        <w:ind w:left="140"/>
        <w:rPr>
          <w:b/>
          <w:i/>
          <w:sz w:val="24"/>
          <w:szCs w:val="24"/>
          <w:u w:val="single"/>
        </w:rPr>
      </w:pPr>
    </w:p>
    <w:p w14:paraId="22F87A0F" w14:textId="77777777" w:rsidR="003C32EE" w:rsidRDefault="003C32EE">
      <w:pPr>
        <w:spacing w:before="158"/>
        <w:ind w:left="140"/>
        <w:rPr>
          <w:b/>
          <w:i/>
          <w:sz w:val="24"/>
          <w:szCs w:val="24"/>
          <w:u w:val="single"/>
        </w:rPr>
      </w:pPr>
    </w:p>
    <w:p w14:paraId="316F520A" w14:textId="77777777" w:rsidR="003C32EE" w:rsidRDefault="001D17FD">
      <w:pPr>
        <w:shd w:val="clear" w:color="auto" w:fill="FFFFFF"/>
        <w:tabs>
          <w:tab w:val="left" w:pos="360"/>
        </w:tabs>
        <w:spacing w:after="180"/>
        <w:ind w:left="360" w:hanging="360"/>
        <w:rPr>
          <w:color w:val="212529"/>
          <w:sz w:val="23"/>
          <w:szCs w:val="23"/>
        </w:rPr>
      </w:pPr>
      <w:r>
        <w:rPr>
          <w:b/>
          <w:color w:val="212529"/>
          <w:sz w:val="23"/>
          <w:szCs w:val="23"/>
        </w:rPr>
        <w:t>B.  </w:t>
      </w:r>
      <w:r>
        <w:rPr>
          <w:b/>
          <w:color w:val="212529"/>
          <w:sz w:val="23"/>
          <w:szCs w:val="23"/>
          <w:u w:val="single"/>
        </w:rPr>
        <w:t>Notices for Commencement of Home Education Program.</w:t>
      </w:r>
    </w:p>
    <w:p w14:paraId="16AB1324" w14:textId="77777777" w:rsidR="003C32EE" w:rsidRDefault="001D17F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720"/>
        <w:rPr>
          <w:color w:val="212529"/>
          <w:sz w:val="23"/>
          <w:szCs w:val="23"/>
        </w:rPr>
      </w:pPr>
      <w:r>
        <w:rPr>
          <w:color w:val="212529"/>
          <w:sz w:val="23"/>
          <w:szCs w:val="23"/>
          <w:u w:val="single"/>
        </w:rPr>
        <w:t>Notice For Students Withdrawing from District</w:t>
      </w:r>
      <w:r>
        <w:rPr>
          <w:color w:val="212529"/>
          <w:sz w:val="23"/>
          <w:szCs w:val="23"/>
        </w:rPr>
        <w:t xml:space="preserve">.  State school attendance laws apply to each student unless and until a parent/guardian commences a home education program. Similarly, the District's attendance policies apply to all students enrolled in schools of the </w:t>
      </w:r>
      <w:proofErr w:type="gramStart"/>
      <w:r>
        <w:rPr>
          <w:color w:val="212529"/>
          <w:sz w:val="23"/>
          <w:szCs w:val="23"/>
        </w:rPr>
        <w:t>District</w:t>
      </w:r>
      <w:proofErr w:type="gramEnd"/>
      <w:r>
        <w:rPr>
          <w:color w:val="212529"/>
          <w:sz w:val="23"/>
          <w:szCs w:val="23"/>
        </w:rPr>
        <w:t>. </w:t>
      </w:r>
    </w:p>
    <w:p w14:paraId="3C0A06D3" w14:textId="77777777" w:rsidR="003C32EE" w:rsidRDefault="001D17FD">
      <w:pPr>
        <w:shd w:val="clear" w:color="auto" w:fill="FFFFFF"/>
        <w:spacing w:after="180"/>
        <w:ind w:left="720"/>
        <w:rPr>
          <w:color w:val="000000"/>
          <w:sz w:val="23"/>
          <w:szCs w:val="23"/>
        </w:rPr>
      </w:pPr>
      <w:r>
        <w:rPr>
          <w:color w:val="212529"/>
          <w:sz w:val="23"/>
          <w:szCs w:val="23"/>
        </w:rPr>
        <w:t>Accordingly, when a paren</w:t>
      </w:r>
      <w:r>
        <w:rPr>
          <w:color w:val="212529"/>
          <w:sz w:val="23"/>
          <w:szCs w:val="23"/>
        </w:rPr>
        <w:t xml:space="preserve">t/guardian of a child who is enrolled in a school of the </w:t>
      </w:r>
      <w:proofErr w:type="gramStart"/>
      <w:r>
        <w:rPr>
          <w:color w:val="212529"/>
          <w:sz w:val="23"/>
          <w:szCs w:val="23"/>
        </w:rPr>
        <w:t>District</w:t>
      </w:r>
      <w:proofErr w:type="gramEnd"/>
      <w:r>
        <w:rPr>
          <w:color w:val="212529"/>
          <w:sz w:val="23"/>
          <w:szCs w:val="23"/>
        </w:rPr>
        <w:t xml:space="preserve"> wishes to begin a home education program</w:t>
      </w:r>
      <w:r>
        <w:rPr>
          <w:color w:val="000000"/>
          <w:sz w:val="23"/>
          <w:szCs w:val="23"/>
        </w:rPr>
        <w:t xml:space="preserve"> for the child, Ed Rule 315.05 (b) requires that on or before the date home education program begins, the parent/guardian must advise the Superintendent of the child's withdrawal from the District.  The notice of withdrawal may be made in person, via telep</w:t>
      </w:r>
      <w:r>
        <w:rPr>
          <w:color w:val="000000"/>
          <w:sz w:val="23"/>
          <w:szCs w:val="23"/>
        </w:rPr>
        <w:t xml:space="preserve">hone, </w:t>
      </w:r>
      <w:proofErr w:type="gramStart"/>
      <w:r>
        <w:rPr>
          <w:color w:val="000000"/>
          <w:sz w:val="23"/>
          <w:szCs w:val="23"/>
        </w:rPr>
        <w:t>email</w:t>
      </w:r>
      <w:proofErr w:type="gramEnd"/>
      <w:r>
        <w:rPr>
          <w:color w:val="000000"/>
          <w:sz w:val="23"/>
          <w:szCs w:val="23"/>
        </w:rPr>
        <w:t xml:space="preserve"> or other writing, at the parent/guardian's election.</w:t>
      </w:r>
    </w:p>
    <w:p w14:paraId="67B48FB6" w14:textId="77777777" w:rsidR="003C32EE" w:rsidRDefault="001D17F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Written Notice of Program Required</w:t>
      </w:r>
      <w:r>
        <w:rPr>
          <w:color w:val="000000"/>
          <w:sz w:val="23"/>
          <w:szCs w:val="23"/>
        </w:rPr>
        <w:t>.  In addition to the less formal notice required for a child being withdrawn from the District, RSA 193-A and Ed 315 both require that the parent/guardian p</w:t>
      </w:r>
      <w:r>
        <w:rPr>
          <w:color w:val="000000"/>
          <w:sz w:val="23"/>
          <w:szCs w:val="23"/>
        </w:rPr>
        <w:t>rovide written notice of the commencement of a home education program to the selected participating agency.  </w:t>
      </w:r>
      <w:r>
        <w:rPr>
          <w:b/>
          <w:i/>
          <w:color w:val="000000"/>
          <w:sz w:val="23"/>
          <w:szCs w:val="23"/>
        </w:rPr>
        <w:t xml:space="preserve">The </w:t>
      </w:r>
      <w:proofErr w:type="gramStart"/>
      <w:r>
        <w:rPr>
          <w:b/>
          <w:i/>
          <w:color w:val="000000"/>
          <w:sz w:val="23"/>
          <w:szCs w:val="23"/>
        </w:rPr>
        <w:t>District</w:t>
      </w:r>
      <w:proofErr w:type="gramEnd"/>
      <w:r>
        <w:rPr>
          <w:b/>
          <w:i/>
          <w:color w:val="000000"/>
          <w:sz w:val="23"/>
          <w:szCs w:val="23"/>
        </w:rPr>
        <w:t xml:space="preserve"> only receives this notice if the parents/guardians are selecting the Superintendent as the participating agency.</w:t>
      </w:r>
    </w:p>
    <w:p w14:paraId="14FA28C3" w14:textId="77777777" w:rsidR="003C32EE" w:rsidRDefault="001D17FD">
      <w:pPr>
        <w:shd w:val="clear" w:color="auto" w:fill="FFFFFF"/>
        <w:spacing w:after="180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only information </w:t>
      </w:r>
      <w:r>
        <w:rPr>
          <w:color w:val="000000"/>
          <w:sz w:val="23"/>
          <w:szCs w:val="23"/>
        </w:rPr>
        <w:t>required in this written notice of commencement is listed in RSA 193-A:5, II: the names, addresses, and birth dates of all children who are participating in the home education program. The parents/guardians shall also provide contact information and update</w:t>
      </w:r>
      <w:r>
        <w:rPr>
          <w:color w:val="000000"/>
          <w:sz w:val="23"/>
          <w:szCs w:val="23"/>
        </w:rPr>
        <w:t xml:space="preserve"> the notification information as necessary. If selected by the parents/guardians as the participating agency, the Superintendent of the resident district shall acknowledge receipt of the notification of commencement of home education within 14 days of rece</w:t>
      </w:r>
      <w:r>
        <w:rPr>
          <w:color w:val="000000"/>
          <w:sz w:val="23"/>
          <w:szCs w:val="23"/>
        </w:rPr>
        <w:t>iving such notification, along with a request for any information required by RSA 193-A:5, II that was not included in the original notice. </w:t>
      </w:r>
    </w:p>
    <w:p w14:paraId="5BFA8D0A" w14:textId="77777777" w:rsidR="003C32EE" w:rsidRDefault="001D17F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No Annual Notice Required</w:t>
      </w:r>
      <w:r>
        <w:rPr>
          <w:color w:val="000000"/>
          <w:sz w:val="23"/>
          <w:szCs w:val="23"/>
        </w:rPr>
        <w:t>.  Once established, the home education program remains in effect unless terminated pursua</w:t>
      </w:r>
      <w:r>
        <w:rPr>
          <w:color w:val="000000"/>
          <w:sz w:val="23"/>
          <w:szCs w:val="23"/>
        </w:rPr>
        <w:t>nt Ed 315.06.  The parent/guardian is </w:t>
      </w:r>
      <w:r>
        <w:rPr>
          <w:b/>
          <w:i/>
          <w:color w:val="000000"/>
          <w:sz w:val="23"/>
          <w:szCs w:val="23"/>
        </w:rPr>
        <w:t>not</w:t>
      </w:r>
      <w:r>
        <w:rPr>
          <w:color w:val="000000"/>
          <w:sz w:val="23"/>
          <w:szCs w:val="23"/>
        </w:rPr>
        <w:t> required to provide annual notification of continuation of a home education program.</w:t>
      </w:r>
    </w:p>
    <w:p w14:paraId="3601AE6C" w14:textId="77777777" w:rsidR="003C32EE" w:rsidRDefault="001D17FD">
      <w:pPr>
        <w:shd w:val="clear" w:color="auto" w:fill="FFFFFF"/>
        <w:tabs>
          <w:tab w:val="left" w:pos="360"/>
        </w:tabs>
        <w:spacing w:after="180"/>
        <w:ind w:left="360" w:hanging="360"/>
        <w:rPr>
          <w:b/>
          <w:color w:val="212529"/>
          <w:sz w:val="23"/>
          <w:szCs w:val="23"/>
        </w:rPr>
      </w:pPr>
      <w:r>
        <w:rPr>
          <w:b/>
          <w:color w:val="212529"/>
          <w:sz w:val="23"/>
          <w:szCs w:val="23"/>
        </w:rPr>
        <w:t>C.  Evaluation &amp; Assessment.</w:t>
      </w:r>
    </w:p>
    <w:p w14:paraId="798D2D63" w14:textId="77777777" w:rsidR="003C32EE" w:rsidRDefault="001D17FD">
      <w:pPr>
        <w:shd w:val="clear" w:color="auto" w:fill="FFFFFF"/>
        <w:spacing w:after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Under RSA 193-A:6, II, parents/guardians are required to provide for an annual educational evaluation for home educated children that documents "educational progress at a level commensurate with the child's age and ability." Both the statute and Ed 315.08 </w:t>
      </w:r>
      <w:r>
        <w:rPr>
          <w:color w:val="000000"/>
          <w:sz w:val="23"/>
          <w:szCs w:val="23"/>
        </w:rPr>
        <w:t>provide several options for parents/guardians to meet the statutory evaluation requirements, and the parents/guardians are free to select their preferred method.</w:t>
      </w:r>
    </w:p>
    <w:p w14:paraId="38132C19" w14:textId="77777777" w:rsidR="003C32EE" w:rsidRDefault="001D17F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Evaluation with Assistance from the District</w:t>
      </w:r>
      <w:r>
        <w:rPr>
          <w:color w:val="000000"/>
          <w:sz w:val="23"/>
          <w:szCs w:val="23"/>
        </w:rPr>
        <w:t>.  If the District is selected as the participatin</w:t>
      </w:r>
      <w:r>
        <w:rPr>
          <w:color w:val="000000"/>
          <w:sz w:val="23"/>
          <w:szCs w:val="23"/>
        </w:rPr>
        <w:t xml:space="preserve">g agency, the </w:t>
      </w:r>
      <w:proofErr w:type="gramStart"/>
      <w:r>
        <w:rPr>
          <w:color w:val="000000"/>
          <w:sz w:val="23"/>
          <w:szCs w:val="23"/>
        </w:rPr>
        <w:t>District</w:t>
      </w:r>
      <w:proofErr w:type="gramEnd"/>
      <w:r>
        <w:rPr>
          <w:color w:val="000000"/>
          <w:sz w:val="23"/>
          <w:szCs w:val="23"/>
        </w:rPr>
        <w:t xml:space="preserve"> must provide evaluation services upon request of the parent/guardian. If the District is not selected as the participating agency, the </w:t>
      </w:r>
      <w:proofErr w:type="gramStart"/>
      <w:r>
        <w:rPr>
          <w:color w:val="000000"/>
          <w:sz w:val="23"/>
          <w:szCs w:val="23"/>
        </w:rPr>
        <w:t>District</w:t>
      </w:r>
      <w:proofErr w:type="gramEnd"/>
      <w:r>
        <w:rPr>
          <w:color w:val="000000"/>
          <w:sz w:val="23"/>
          <w:szCs w:val="23"/>
        </w:rPr>
        <w:t> </w:t>
      </w:r>
      <w:r>
        <w:rPr>
          <w:b/>
          <w:i/>
          <w:color w:val="000000"/>
          <w:sz w:val="23"/>
          <w:szCs w:val="23"/>
        </w:rPr>
        <w:t>may</w:t>
      </w:r>
      <w:r>
        <w:rPr>
          <w:b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aid in evaluation, but is not required to do so.</w:t>
      </w:r>
    </w:p>
    <w:p w14:paraId="528F7BBF" w14:textId="77777777" w:rsidR="003C32EE" w:rsidRDefault="001D17FD">
      <w:pPr>
        <w:shd w:val="clear" w:color="auto" w:fill="FFFFFF"/>
        <w:spacing w:after="180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Parents/guardians seeking to utilize evaluation services through the </w:t>
      </w:r>
      <w:proofErr w:type="gramStart"/>
      <w:r>
        <w:rPr>
          <w:color w:val="000000"/>
          <w:sz w:val="23"/>
          <w:szCs w:val="23"/>
        </w:rPr>
        <w:t>District</w:t>
      </w:r>
      <w:proofErr w:type="gramEnd"/>
      <w:r>
        <w:rPr>
          <w:color w:val="000000"/>
          <w:sz w:val="23"/>
          <w:szCs w:val="23"/>
        </w:rPr>
        <w:t xml:space="preserve"> should contact the Superintendent's office as soon as practicable to ensure adequate time to prepare any necessary materials and accommodations.</w:t>
      </w:r>
    </w:p>
    <w:p w14:paraId="658B1EDC" w14:textId="77777777" w:rsidR="003C32EE" w:rsidRDefault="001D17FD">
      <w:pPr>
        <w:shd w:val="clear" w:color="auto" w:fill="FFFFFF"/>
        <w:spacing w:after="180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While the parent/guardian may sel</w:t>
      </w:r>
      <w:r>
        <w:rPr>
          <w:color w:val="000000"/>
          <w:sz w:val="23"/>
          <w:szCs w:val="23"/>
        </w:rPr>
        <w:t>ect any evaluation method outlined in RSA 193-A:6, II, as well as any other method agreed to by the parent/guardian and the participating agency, two methods merit further note:</w:t>
      </w:r>
    </w:p>
    <w:p w14:paraId="252BBAE9" w14:textId="77777777" w:rsidR="003C32EE" w:rsidRDefault="001D17FD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10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State or Local Assessment Provided by the District</w:t>
      </w:r>
      <w:r>
        <w:rPr>
          <w:color w:val="000000"/>
          <w:sz w:val="23"/>
          <w:szCs w:val="23"/>
        </w:rPr>
        <w:t xml:space="preserve">.  If the evaluation method </w:t>
      </w:r>
      <w:r>
        <w:rPr>
          <w:color w:val="000000"/>
          <w:sz w:val="23"/>
          <w:szCs w:val="23"/>
        </w:rPr>
        <w:t xml:space="preserve">is a state or local assessment provided by the </w:t>
      </w:r>
      <w:proofErr w:type="gramStart"/>
      <w:r>
        <w:rPr>
          <w:color w:val="000000"/>
          <w:sz w:val="23"/>
          <w:szCs w:val="23"/>
        </w:rPr>
        <w:t>District</w:t>
      </w:r>
      <w:proofErr w:type="gramEnd"/>
      <w:r>
        <w:rPr>
          <w:color w:val="000000"/>
          <w:sz w:val="23"/>
          <w:szCs w:val="23"/>
        </w:rPr>
        <w:t>, the parent/guardian must notify the Superintendent in writing as soon as practicable to provide the District adequate time to prepare and obtain the testing materials and prepare any necessary accomm</w:t>
      </w:r>
      <w:r>
        <w:rPr>
          <w:color w:val="000000"/>
          <w:sz w:val="23"/>
          <w:szCs w:val="23"/>
        </w:rPr>
        <w:t xml:space="preserve">odations. Under </w:t>
      </w:r>
      <w:r>
        <w:rPr>
          <w:color w:val="000000"/>
          <w:sz w:val="23"/>
          <w:szCs w:val="23"/>
        </w:rPr>
        <w:lastRenderedPageBreak/>
        <w:t xml:space="preserve">this election, the </w:t>
      </w:r>
      <w:proofErr w:type="gramStart"/>
      <w:r>
        <w:rPr>
          <w:color w:val="000000"/>
          <w:sz w:val="23"/>
          <w:szCs w:val="23"/>
        </w:rPr>
        <w:t>District</w:t>
      </w:r>
      <w:proofErr w:type="gramEnd"/>
      <w:r>
        <w:rPr>
          <w:color w:val="000000"/>
          <w:sz w:val="23"/>
          <w:szCs w:val="23"/>
        </w:rPr>
        <w:t xml:space="preserve"> will not charge a fee for providing or administering the test.  Reasonable academic proficiency is deemed demonstrated if the composite results place the child at or above the fortieth percentile.</w:t>
      </w:r>
    </w:p>
    <w:p w14:paraId="19AE4015" w14:textId="77777777" w:rsidR="003C32EE" w:rsidRDefault="001D17FD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10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Portfolio Revie</w:t>
      </w:r>
      <w:r>
        <w:rPr>
          <w:color w:val="000000"/>
          <w:sz w:val="23"/>
          <w:szCs w:val="23"/>
          <w:u w:val="single"/>
        </w:rPr>
        <w:t>w</w:t>
      </w:r>
      <w:r>
        <w:rPr>
          <w:color w:val="000000"/>
          <w:sz w:val="23"/>
          <w:szCs w:val="23"/>
        </w:rPr>
        <w:t xml:space="preserve">.  If the District is the selected participating agency, the parent/guardian may request the </w:t>
      </w:r>
      <w:proofErr w:type="gramStart"/>
      <w:r>
        <w:rPr>
          <w:color w:val="000000"/>
          <w:sz w:val="23"/>
          <w:szCs w:val="23"/>
        </w:rPr>
        <w:t>District</w:t>
      </w:r>
      <w:proofErr w:type="gramEnd"/>
      <w:r>
        <w:rPr>
          <w:color w:val="000000"/>
          <w:sz w:val="23"/>
          <w:szCs w:val="23"/>
        </w:rPr>
        <w:t xml:space="preserve"> to perform a portfolio review, for which the District may charge a fee.</w:t>
      </w:r>
    </w:p>
    <w:p w14:paraId="4CDD2B63" w14:textId="77777777" w:rsidR="003C32EE" w:rsidRDefault="001D17FD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10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Other "Valid Measurement Tool"</w:t>
      </w:r>
      <w:r>
        <w:rPr>
          <w:color w:val="000000"/>
          <w:sz w:val="23"/>
          <w:szCs w:val="23"/>
        </w:rPr>
        <w:t>.  When the Superintendent is the participating age</w:t>
      </w:r>
      <w:r>
        <w:rPr>
          <w:color w:val="000000"/>
          <w:sz w:val="23"/>
          <w:szCs w:val="23"/>
        </w:rPr>
        <w:t>ncy, the parent/guardian and Superintendent </w:t>
      </w:r>
      <w:r>
        <w:rPr>
          <w:color w:val="000000"/>
          <w:sz w:val="23"/>
          <w:szCs w:val="23"/>
          <w:u w:val="single"/>
        </w:rPr>
        <w:t>may mutually agree</w:t>
      </w:r>
      <w:r>
        <w:rPr>
          <w:color w:val="000000"/>
          <w:sz w:val="23"/>
          <w:szCs w:val="23"/>
        </w:rPr>
        <w:t> upon any other valid measurement tool(s).  A non-exclusive list of examples may be found in Ed 315.08(e). </w:t>
      </w:r>
    </w:p>
    <w:p w14:paraId="5BD652EC" w14:textId="77777777" w:rsidR="003C32EE" w:rsidRDefault="001D17F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Evaluation Independent of the District</w:t>
      </w:r>
      <w:r>
        <w:rPr>
          <w:color w:val="000000"/>
          <w:sz w:val="23"/>
          <w:szCs w:val="23"/>
        </w:rPr>
        <w:t>.  As outlined in RSA 193-A:6, II, the parent/gu</w:t>
      </w:r>
      <w:r>
        <w:rPr>
          <w:color w:val="000000"/>
          <w:sz w:val="23"/>
          <w:szCs w:val="23"/>
        </w:rPr>
        <w:t>ardian may collaborate with the participating agency to find a mutually agreed upon method of evaluation as described in Ed 315.08(d) - (f).</w:t>
      </w:r>
    </w:p>
    <w:p w14:paraId="48381F65" w14:textId="77777777" w:rsidR="003C32EE" w:rsidRDefault="001D17FD">
      <w:pPr>
        <w:shd w:val="clear" w:color="auto" w:fill="FFFFFF"/>
        <w:tabs>
          <w:tab w:val="left" w:pos="360"/>
        </w:tabs>
        <w:spacing w:after="180"/>
        <w:rPr>
          <w:b/>
          <w:color w:val="212529"/>
          <w:sz w:val="23"/>
          <w:szCs w:val="23"/>
        </w:rPr>
      </w:pPr>
      <w:r>
        <w:rPr>
          <w:b/>
          <w:color w:val="212529"/>
          <w:sz w:val="23"/>
          <w:szCs w:val="23"/>
        </w:rPr>
        <w:t>D.  Reports and Records.</w:t>
      </w:r>
    </w:p>
    <w:p w14:paraId="2C19429B" w14:textId="77777777" w:rsidR="003C32EE" w:rsidRDefault="001D17F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Parent/Guardian Requirements</w:t>
      </w:r>
      <w:r>
        <w:rPr>
          <w:color w:val="000000"/>
          <w:sz w:val="23"/>
          <w:szCs w:val="23"/>
        </w:rPr>
        <w:t xml:space="preserve">.  RSA 193-A:6, I - requires the parent/guardian to maintain a portfolio of records and materials relative to the home education program. The portfolio shall consist of a log which designates by title the reading materials used, </w:t>
      </w:r>
      <w:proofErr w:type="gramStart"/>
      <w:r>
        <w:rPr>
          <w:color w:val="000000"/>
          <w:sz w:val="23"/>
          <w:szCs w:val="23"/>
        </w:rPr>
        <w:t>and also</w:t>
      </w:r>
      <w:proofErr w:type="gramEnd"/>
      <w:r>
        <w:rPr>
          <w:color w:val="000000"/>
          <w:sz w:val="23"/>
          <w:szCs w:val="23"/>
        </w:rPr>
        <w:t xml:space="preserve"> samples of writing</w:t>
      </w:r>
      <w:r>
        <w:rPr>
          <w:color w:val="000000"/>
          <w:sz w:val="23"/>
          <w:szCs w:val="23"/>
        </w:rPr>
        <w:t>s, worksheets, workbooks, or creative materials used or developed by the child. Such portfolio,</w:t>
      </w:r>
      <w:r>
        <w:rPr>
          <w:b/>
          <w:i/>
          <w:color w:val="000000"/>
          <w:sz w:val="23"/>
          <w:szCs w:val="23"/>
        </w:rPr>
        <w:t xml:space="preserve"> which </w:t>
      </w:r>
      <w:proofErr w:type="gramStart"/>
      <w:r>
        <w:rPr>
          <w:b/>
          <w:i/>
          <w:color w:val="000000"/>
          <w:sz w:val="23"/>
          <w:szCs w:val="23"/>
        </w:rPr>
        <w:t>at all times</w:t>
      </w:r>
      <w:proofErr w:type="gramEnd"/>
      <w:r>
        <w:rPr>
          <w:b/>
          <w:i/>
          <w:color w:val="000000"/>
          <w:sz w:val="23"/>
          <w:szCs w:val="23"/>
        </w:rPr>
        <w:t xml:space="preserve"> remains the property of the parent</w:t>
      </w:r>
      <w:r>
        <w:rPr>
          <w:color w:val="000000"/>
          <w:sz w:val="23"/>
          <w:szCs w:val="23"/>
        </w:rPr>
        <w:t xml:space="preserve">, shall be preserved by the parent for 2 years from the date of the ending of the instruction. </w:t>
      </w:r>
    </w:p>
    <w:p w14:paraId="601CF0C6" w14:textId="77777777" w:rsidR="003C32EE" w:rsidRDefault="001D17FD">
      <w:pPr>
        <w:shd w:val="clear" w:color="auto" w:fill="FFFFFF"/>
        <w:spacing w:after="180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Parents/gua</w:t>
      </w:r>
      <w:r>
        <w:rPr>
          <w:color w:val="000000"/>
          <w:sz w:val="23"/>
          <w:szCs w:val="23"/>
        </w:rPr>
        <w:t xml:space="preserve">rdians need only provide the evaluation results/portfolio to the </w:t>
      </w:r>
      <w:proofErr w:type="gramStart"/>
      <w:r>
        <w:rPr>
          <w:color w:val="000000"/>
          <w:sz w:val="23"/>
          <w:szCs w:val="23"/>
        </w:rPr>
        <w:t>District</w:t>
      </w:r>
      <w:proofErr w:type="gramEnd"/>
      <w:r>
        <w:rPr>
          <w:color w:val="000000"/>
          <w:sz w:val="23"/>
          <w:szCs w:val="23"/>
        </w:rPr>
        <w:t xml:space="preserve"> to the extent necessary to demonstrate proficiency in order to participate in school programs, and co/extra-curricular activities as provided under RSA 193-A:6, III, and Ed 315.07(b)</w:t>
      </w:r>
      <w:r>
        <w:rPr>
          <w:color w:val="000000"/>
          <w:sz w:val="23"/>
          <w:szCs w:val="23"/>
        </w:rPr>
        <w:t>.  See also Board policy JJJ</w:t>
      </w:r>
      <w:r>
        <w:rPr>
          <w:i/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> </w:t>
      </w:r>
    </w:p>
    <w:p w14:paraId="514DCC2C" w14:textId="77777777" w:rsidR="003C32EE" w:rsidRDefault="001D17F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District Requirements</w:t>
      </w:r>
      <w:r>
        <w:rPr>
          <w:color w:val="000000"/>
          <w:sz w:val="23"/>
          <w:szCs w:val="23"/>
        </w:rPr>
        <w:t>.</w:t>
      </w:r>
    </w:p>
    <w:p w14:paraId="309E9192" w14:textId="77777777" w:rsidR="003C32EE" w:rsidRDefault="001D17F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10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District as Participating Agency</w:t>
      </w:r>
      <w:r>
        <w:rPr>
          <w:color w:val="000000"/>
          <w:sz w:val="23"/>
          <w:szCs w:val="23"/>
        </w:rPr>
        <w:t>.  On October 1 of each year, the Superintendent shall notify the Commissioner of the number of children for whom the Superintendent was selected as a participating agenc</w:t>
      </w:r>
      <w:r>
        <w:rPr>
          <w:color w:val="000000"/>
          <w:sz w:val="23"/>
          <w:szCs w:val="23"/>
        </w:rPr>
        <w:t>y since the previous year's report.</w:t>
      </w:r>
    </w:p>
    <w:p w14:paraId="4E4362DB" w14:textId="77777777" w:rsidR="003C32EE" w:rsidRDefault="001D17FD">
      <w:pPr>
        <w:shd w:val="clear" w:color="auto" w:fill="FFFFFF"/>
        <w:spacing w:after="180"/>
        <w:ind w:left="1080"/>
        <w:rPr>
          <w:color w:val="212529"/>
          <w:sz w:val="23"/>
          <w:szCs w:val="23"/>
        </w:rPr>
      </w:pPr>
      <w:r>
        <w:rPr>
          <w:color w:val="000000"/>
          <w:sz w:val="23"/>
          <w:szCs w:val="23"/>
        </w:rPr>
        <w:t xml:space="preserve">The </w:t>
      </w:r>
      <w:proofErr w:type="gramStart"/>
      <w:r>
        <w:rPr>
          <w:color w:val="000000"/>
          <w:sz w:val="23"/>
          <w:szCs w:val="23"/>
        </w:rPr>
        <w:t>District</w:t>
      </w:r>
      <w:proofErr w:type="gramEnd"/>
      <w:r>
        <w:rPr>
          <w:color w:val="000000"/>
          <w:sz w:val="23"/>
          <w:szCs w:val="23"/>
        </w:rPr>
        <w:t xml:space="preserve"> should maintain record of a student's enrollment and withdrawal from the school in the same manner as it would for a student transferring to another district. The </w:t>
      </w:r>
      <w:proofErr w:type="gramStart"/>
      <w:r>
        <w:rPr>
          <w:color w:val="000000"/>
          <w:sz w:val="23"/>
          <w:szCs w:val="23"/>
        </w:rPr>
        <w:t>District</w:t>
      </w:r>
      <w:proofErr w:type="gramEnd"/>
      <w:r>
        <w:rPr>
          <w:color w:val="000000"/>
          <w:sz w:val="23"/>
          <w:szCs w:val="23"/>
        </w:rPr>
        <w:t xml:space="preserve"> should maintain a record of its status as the participating agency for </w:t>
      </w:r>
      <w:r>
        <w:rPr>
          <w:color w:val="000000"/>
          <w:sz w:val="23"/>
          <w:szCs w:val="23"/>
        </w:rPr>
        <w:t xml:space="preserve">as long as it holds that status. While the parent/guardian keeps any portfolios and assessments </w:t>
      </w:r>
      <w:r>
        <w:rPr>
          <w:color w:val="212529"/>
          <w:sz w:val="23"/>
          <w:szCs w:val="23"/>
        </w:rPr>
        <w:t>conducted outside the District, the District should maintain record of any involvement it has in assessments as it would for any other student.</w:t>
      </w:r>
    </w:p>
    <w:p w14:paraId="0A345D14" w14:textId="77777777" w:rsidR="003C32EE" w:rsidRDefault="001D17F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ind w:left="1080"/>
        <w:rPr>
          <w:color w:val="212529"/>
          <w:sz w:val="23"/>
          <w:szCs w:val="23"/>
        </w:rPr>
      </w:pPr>
      <w:r>
        <w:rPr>
          <w:color w:val="212529"/>
          <w:sz w:val="23"/>
          <w:szCs w:val="23"/>
          <w:u w:val="single"/>
        </w:rPr>
        <w:t xml:space="preserve">District Not as </w:t>
      </w:r>
      <w:r>
        <w:rPr>
          <w:color w:val="212529"/>
          <w:sz w:val="23"/>
          <w:szCs w:val="23"/>
          <w:u w:val="single"/>
        </w:rPr>
        <w:t>Participating Agency</w:t>
      </w:r>
      <w:r>
        <w:rPr>
          <w:color w:val="212529"/>
          <w:sz w:val="23"/>
          <w:szCs w:val="23"/>
        </w:rPr>
        <w:t xml:space="preserve">. The </w:t>
      </w:r>
      <w:proofErr w:type="gramStart"/>
      <w:r>
        <w:rPr>
          <w:color w:val="212529"/>
          <w:sz w:val="23"/>
          <w:szCs w:val="23"/>
        </w:rPr>
        <w:t>District</w:t>
      </w:r>
      <w:proofErr w:type="gramEnd"/>
      <w:r>
        <w:rPr>
          <w:color w:val="212529"/>
          <w:sz w:val="23"/>
          <w:szCs w:val="23"/>
        </w:rPr>
        <w:t xml:space="preserve"> should maintain record of the student's enrollment and withdrawal from the school in the same manner as it would for a student transferring to another district.</w:t>
      </w:r>
    </w:p>
    <w:p w14:paraId="15E382DD" w14:textId="77777777" w:rsidR="003C32EE" w:rsidRDefault="001D17FD">
      <w:pPr>
        <w:shd w:val="clear" w:color="auto" w:fill="FFFFFF"/>
        <w:tabs>
          <w:tab w:val="left" w:pos="360"/>
        </w:tabs>
        <w:spacing w:after="180"/>
        <w:rPr>
          <w:b/>
          <w:color w:val="212529"/>
          <w:sz w:val="23"/>
          <w:szCs w:val="23"/>
        </w:rPr>
      </w:pPr>
      <w:r>
        <w:rPr>
          <w:b/>
          <w:color w:val="212529"/>
          <w:sz w:val="23"/>
          <w:szCs w:val="23"/>
        </w:rPr>
        <w:t>E.  </w:t>
      </w:r>
      <w:r>
        <w:rPr>
          <w:b/>
          <w:color w:val="212529"/>
          <w:sz w:val="24"/>
          <w:szCs w:val="24"/>
        </w:rPr>
        <w:t>Re-enrollment into School District &amp; Notice of Terminati</w:t>
      </w:r>
      <w:r>
        <w:rPr>
          <w:b/>
          <w:color w:val="212529"/>
          <w:sz w:val="24"/>
          <w:szCs w:val="24"/>
        </w:rPr>
        <w:t>on of Home Education Program</w:t>
      </w:r>
      <w:r>
        <w:rPr>
          <w:b/>
          <w:color w:val="212529"/>
          <w:sz w:val="23"/>
          <w:szCs w:val="23"/>
        </w:rPr>
        <w:t>.</w:t>
      </w:r>
    </w:p>
    <w:p w14:paraId="54200D69" w14:textId="77777777" w:rsidR="003C32EE" w:rsidRDefault="001D17FD">
      <w:pPr>
        <w:shd w:val="clear" w:color="auto" w:fill="FFFFFF"/>
        <w:tabs>
          <w:tab w:val="left" w:pos="360"/>
        </w:tabs>
        <w:spacing w:after="180"/>
        <w:ind w:left="7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Parents deciding to re-enroll their children into the School District following a period of home education will make arrangements with the </w:t>
      </w:r>
      <w:proofErr w:type="gramStart"/>
      <w:r>
        <w:rPr>
          <w:color w:val="212529"/>
          <w:sz w:val="24"/>
          <w:szCs w:val="24"/>
        </w:rPr>
        <w:t>Principal</w:t>
      </w:r>
      <w:proofErr w:type="gramEnd"/>
      <w:r>
        <w:rPr>
          <w:color w:val="212529"/>
          <w:sz w:val="24"/>
          <w:szCs w:val="24"/>
        </w:rPr>
        <w:t xml:space="preserve"> for an evaluation to determine appropriate placement in the District's program.  Placements will be consist</w:t>
      </w:r>
      <w:r>
        <w:rPr>
          <w:color w:val="212529"/>
          <w:sz w:val="24"/>
          <w:szCs w:val="24"/>
        </w:rPr>
        <w:t>ent with section B of Board policy JJJ governing home education and other non-enrolled district student program placements and are subject to the same appeal process.</w:t>
      </w:r>
    </w:p>
    <w:p w14:paraId="6CAF46AA" w14:textId="77777777" w:rsidR="003C32EE" w:rsidRDefault="001D17FD">
      <w:pPr>
        <w:shd w:val="clear" w:color="auto" w:fill="FFFFFF"/>
        <w:tabs>
          <w:tab w:val="left" w:pos="360"/>
        </w:tabs>
        <w:spacing w:after="180"/>
        <w:ind w:left="72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Parents should be attentive that when re-enrolling a student, there may be discrepancies </w:t>
      </w:r>
      <w:r>
        <w:rPr>
          <w:color w:val="212529"/>
          <w:sz w:val="24"/>
          <w:szCs w:val="24"/>
        </w:rPr>
        <w:t xml:space="preserve">between the home education level of achievement and the scope and sequence of the </w:t>
      </w:r>
      <w:proofErr w:type="gramStart"/>
      <w:r>
        <w:rPr>
          <w:color w:val="212529"/>
          <w:sz w:val="24"/>
          <w:szCs w:val="24"/>
        </w:rPr>
        <w:lastRenderedPageBreak/>
        <w:t>District's</w:t>
      </w:r>
      <w:proofErr w:type="gramEnd"/>
      <w:r>
        <w:rPr>
          <w:color w:val="212529"/>
          <w:sz w:val="24"/>
          <w:szCs w:val="24"/>
        </w:rPr>
        <w:t xml:space="preserve"> curriculum.</w:t>
      </w:r>
    </w:p>
    <w:p w14:paraId="1B36D994" w14:textId="77777777" w:rsidR="003C32EE" w:rsidRDefault="001D17FD">
      <w:pPr>
        <w:shd w:val="clear" w:color="auto" w:fill="FFFFFF"/>
        <w:tabs>
          <w:tab w:val="left" w:pos="360"/>
        </w:tabs>
        <w:spacing w:after="180"/>
        <w:ind w:left="720"/>
        <w:rPr>
          <w:b/>
          <w:color w:val="212529"/>
          <w:sz w:val="23"/>
          <w:szCs w:val="23"/>
        </w:rPr>
      </w:pPr>
      <w:r>
        <w:rPr>
          <w:color w:val="212529"/>
          <w:sz w:val="24"/>
          <w:szCs w:val="24"/>
        </w:rPr>
        <w:t xml:space="preserve">Also, </w:t>
      </w:r>
      <w:proofErr w:type="gramStart"/>
      <w:r>
        <w:rPr>
          <w:color w:val="212529"/>
          <w:sz w:val="24"/>
          <w:szCs w:val="24"/>
        </w:rPr>
        <w:t>in the event that</w:t>
      </w:r>
      <w:proofErr w:type="gramEnd"/>
      <w:r>
        <w:rPr>
          <w:color w:val="212529"/>
          <w:sz w:val="24"/>
          <w:szCs w:val="24"/>
        </w:rPr>
        <w:t xml:space="preserve"> a parent/guardian terminates a home education program, the parent/guardian is required under RSA 193-A:5, III to provide writte</w:t>
      </w:r>
      <w:r>
        <w:rPr>
          <w:color w:val="212529"/>
          <w:sz w:val="24"/>
          <w:szCs w:val="24"/>
        </w:rPr>
        <w:t>n notice within 15 days of the termination to either the N.H. Commissioner of Education, the resident district superintendent, or the non-public school principal</w:t>
      </w:r>
      <w:r>
        <w:rPr>
          <w:b/>
          <w:color w:val="212529"/>
          <w:sz w:val="23"/>
          <w:szCs w:val="23"/>
        </w:rPr>
        <w:t>.</w:t>
      </w:r>
    </w:p>
    <w:p w14:paraId="2245B2F2" w14:textId="77777777" w:rsidR="003C32EE" w:rsidRDefault="001D17FD">
      <w:pPr>
        <w:shd w:val="clear" w:color="auto" w:fill="FFFFFF"/>
        <w:tabs>
          <w:tab w:val="left" w:pos="360"/>
        </w:tabs>
        <w:spacing w:after="180"/>
        <w:ind w:left="360" w:hanging="360"/>
        <w:rPr>
          <w:color w:val="212529"/>
          <w:sz w:val="23"/>
          <w:szCs w:val="23"/>
        </w:rPr>
      </w:pPr>
      <w:r>
        <w:rPr>
          <w:b/>
          <w:color w:val="212529"/>
          <w:sz w:val="23"/>
          <w:szCs w:val="23"/>
        </w:rPr>
        <w:t>F.  </w:t>
      </w:r>
      <w:r>
        <w:rPr>
          <w:b/>
          <w:color w:val="212529"/>
          <w:sz w:val="23"/>
          <w:szCs w:val="23"/>
          <w:u w:val="single"/>
        </w:rPr>
        <w:t>Graduation/Diplomas</w:t>
      </w:r>
      <w:r>
        <w:rPr>
          <w:b/>
          <w:color w:val="212529"/>
          <w:sz w:val="23"/>
          <w:szCs w:val="23"/>
        </w:rPr>
        <w:t>.</w:t>
      </w:r>
    </w:p>
    <w:p w14:paraId="66EEBFE2" w14:textId="77777777" w:rsidR="003C32EE" w:rsidRDefault="001D17FD">
      <w:pPr>
        <w:shd w:val="clear" w:color="auto" w:fill="FFFFFF"/>
        <w:spacing w:after="180"/>
        <w:ind w:left="360"/>
        <w:rPr>
          <w:color w:val="212529"/>
          <w:sz w:val="23"/>
          <w:szCs w:val="23"/>
        </w:rPr>
      </w:pPr>
      <w:r>
        <w:rPr>
          <w:color w:val="212529"/>
          <w:sz w:val="23"/>
          <w:szCs w:val="23"/>
        </w:rPr>
        <w:t>The School Board will not award certificates or diplomas to home edu</w:t>
      </w:r>
      <w:r>
        <w:rPr>
          <w:color w:val="212529"/>
          <w:sz w:val="23"/>
          <w:szCs w:val="23"/>
        </w:rPr>
        <w:t xml:space="preserve">cated students.  Students must enter the regular school program and complete all necessary graduation requirements of the </w:t>
      </w:r>
      <w:proofErr w:type="gramStart"/>
      <w:r>
        <w:rPr>
          <w:color w:val="212529"/>
          <w:sz w:val="23"/>
          <w:szCs w:val="23"/>
        </w:rPr>
        <w:t>District</w:t>
      </w:r>
      <w:proofErr w:type="gramEnd"/>
      <w:r>
        <w:rPr>
          <w:color w:val="212529"/>
          <w:sz w:val="23"/>
          <w:szCs w:val="23"/>
        </w:rPr>
        <w:t xml:space="preserve"> and the state to be eligible for a certificate or diploma.</w:t>
      </w:r>
    </w:p>
    <w:p w14:paraId="7044365D" w14:textId="77777777" w:rsidR="003C32EE" w:rsidRDefault="001D17FD">
      <w:pPr>
        <w:shd w:val="clear" w:color="auto" w:fill="FFFFFF"/>
        <w:tabs>
          <w:tab w:val="left" w:pos="360"/>
        </w:tabs>
        <w:spacing w:after="180"/>
        <w:ind w:left="360" w:hanging="360"/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</w:rPr>
        <w:t>G.  </w:t>
      </w:r>
      <w:r>
        <w:rPr>
          <w:b/>
          <w:color w:val="000000"/>
          <w:sz w:val="23"/>
          <w:szCs w:val="23"/>
          <w:u w:val="single"/>
        </w:rPr>
        <w:t>Participation in School Curricular and Co/Extra-curricular Activities</w:t>
      </w:r>
      <w:r>
        <w:rPr>
          <w:b/>
          <w:color w:val="000000"/>
          <w:sz w:val="23"/>
          <w:szCs w:val="23"/>
        </w:rPr>
        <w:t>.</w:t>
      </w:r>
    </w:p>
    <w:p w14:paraId="03E671E5" w14:textId="77777777" w:rsidR="003C32EE" w:rsidRDefault="001D17FD">
      <w:pPr>
        <w:shd w:val="clear" w:color="auto" w:fill="FFFFFF"/>
        <w:spacing w:after="180"/>
        <w:ind w:left="360"/>
        <w:rPr>
          <w:b/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</w:rPr>
        <w:t>Information regarding the participation of home education students (as well as students of nonpublic or of public charter schools) in District curricular and co/extra-curricular program</w:t>
      </w:r>
      <w:r>
        <w:rPr>
          <w:color w:val="000000"/>
          <w:sz w:val="23"/>
          <w:szCs w:val="23"/>
        </w:rPr>
        <w:t xml:space="preserve">s is found in Board policy JJJ. </w:t>
      </w:r>
    </w:p>
    <w:p w14:paraId="3AAC0514" w14:textId="77777777" w:rsidR="003C32EE" w:rsidRDefault="003C32EE">
      <w:pPr>
        <w:shd w:val="clear" w:color="auto" w:fill="FFFFFF"/>
        <w:tabs>
          <w:tab w:val="left" w:pos="360"/>
        </w:tabs>
        <w:spacing w:after="180"/>
        <w:ind w:left="720"/>
        <w:rPr>
          <w:b/>
          <w:color w:val="212529"/>
          <w:sz w:val="23"/>
          <w:szCs w:val="23"/>
        </w:rPr>
      </w:pPr>
    </w:p>
    <w:p w14:paraId="744BB484" w14:textId="77777777" w:rsidR="003C32EE" w:rsidRDefault="003C32EE">
      <w:pPr>
        <w:widowControl/>
        <w:shd w:val="clear" w:color="auto" w:fill="FFFFFF"/>
        <w:spacing w:after="180"/>
        <w:rPr>
          <w:color w:val="000000"/>
          <w:sz w:val="23"/>
          <w:szCs w:val="23"/>
        </w:rPr>
      </w:pPr>
    </w:p>
    <w:p w14:paraId="17592D82" w14:textId="77777777" w:rsidR="003C32EE" w:rsidRDefault="003C32EE">
      <w:pPr>
        <w:shd w:val="clear" w:color="auto" w:fill="FFFFFF"/>
        <w:spacing w:after="180"/>
        <w:rPr>
          <w:color w:val="000000"/>
          <w:sz w:val="23"/>
          <w:szCs w:val="23"/>
        </w:rPr>
      </w:pPr>
    </w:p>
    <w:p w14:paraId="533389F3" w14:textId="77777777" w:rsidR="003C32EE" w:rsidRDefault="003C32EE">
      <w:pPr>
        <w:spacing w:before="158"/>
        <w:ind w:left="140"/>
        <w:rPr>
          <w:b/>
          <w:i/>
          <w:sz w:val="24"/>
          <w:szCs w:val="24"/>
          <w:u w:val="single"/>
        </w:rPr>
      </w:pPr>
    </w:p>
    <w:p w14:paraId="7B40122E" w14:textId="77777777" w:rsidR="003C32EE" w:rsidRDefault="001D17FD">
      <w:pPr>
        <w:spacing w:before="158"/>
        <w:ind w:left="14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Legal References</w:t>
      </w:r>
      <w:r>
        <w:rPr>
          <w:b/>
          <w:i/>
          <w:sz w:val="24"/>
          <w:szCs w:val="24"/>
        </w:rPr>
        <w:t>:</w:t>
      </w:r>
    </w:p>
    <w:p w14:paraId="640665EC" w14:textId="77777777" w:rsidR="003C32EE" w:rsidRDefault="001D17FD">
      <w:pPr>
        <w:pBdr>
          <w:top w:val="nil"/>
          <w:left w:val="nil"/>
          <w:bottom w:val="nil"/>
          <w:right w:val="nil"/>
          <w:between w:val="nil"/>
        </w:pBdr>
        <w:ind w:left="5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RSA 193-A, Home Education</w:t>
      </w:r>
    </w:p>
    <w:p w14:paraId="6480E846" w14:textId="77777777" w:rsidR="003C32EE" w:rsidRDefault="001D17FD">
      <w:pPr>
        <w:pBdr>
          <w:top w:val="nil"/>
          <w:left w:val="nil"/>
          <w:bottom w:val="nil"/>
          <w:right w:val="nil"/>
          <w:between w:val="nil"/>
        </w:pBdr>
        <w:ind w:left="500" w:right="27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RSA 193:1, Duty of Parent; Compulsory Attendance by Pupil RSA 193:1-a, Dual Enrollment</w:t>
      </w:r>
    </w:p>
    <w:p w14:paraId="405BA197" w14:textId="77777777" w:rsidR="003C32EE" w:rsidRDefault="001D17FD">
      <w:pPr>
        <w:pBdr>
          <w:top w:val="nil"/>
          <w:left w:val="nil"/>
          <w:bottom w:val="nil"/>
          <w:right w:val="nil"/>
          <w:between w:val="nil"/>
        </w:pBdr>
        <w:ind w:left="500" w:right="2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RSA 193:1-c, Access to Public School Programs by Nonpublic or Home Educated Pupils NH Code of Administrative Rules, Section Ed 315, Procedures for the Operation of</w:t>
      </w:r>
    </w:p>
    <w:p w14:paraId="165307BB" w14:textId="77777777" w:rsidR="003C32EE" w:rsidRDefault="001D17FD">
      <w:pPr>
        <w:pBdr>
          <w:top w:val="nil"/>
          <w:left w:val="nil"/>
          <w:bottom w:val="nil"/>
          <w:right w:val="nil"/>
          <w:between w:val="nil"/>
        </w:pBdr>
        <w:ind w:left="1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Home Education Programs</w:t>
      </w:r>
    </w:p>
    <w:p w14:paraId="0A5C5DAA" w14:textId="77777777" w:rsidR="003C32EE" w:rsidRDefault="003C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81F63D" w14:textId="77777777" w:rsidR="003C32EE" w:rsidRDefault="003C32EE">
      <w:pPr>
        <w:pBdr>
          <w:top w:val="nil"/>
          <w:left w:val="nil"/>
          <w:bottom w:val="nil"/>
          <w:right w:val="nil"/>
          <w:between w:val="nil"/>
        </w:pBdr>
        <w:ind w:left="140"/>
        <w:rPr>
          <w:color w:val="000000"/>
          <w:sz w:val="20"/>
          <w:szCs w:val="20"/>
        </w:rPr>
      </w:pPr>
    </w:p>
    <w:p w14:paraId="58D02D78" w14:textId="77777777" w:rsidR="003C32EE" w:rsidRDefault="003C32EE">
      <w:pPr>
        <w:pBdr>
          <w:top w:val="nil"/>
          <w:left w:val="nil"/>
          <w:bottom w:val="nil"/>
          <w:right w:val="nil"/>
          <w:between w:val="nil"/>
        </w:pBdr>
        <w:ind w:left="140"/>
        <w:rPr>
          <w:color w:val="000000"/>
          <w:sz w:val="20"/>
          <w:szCs w:val="20"/>
        </w:rPr>
      </w:pPr>
    </w:p>
    <w:p w14:paraId="456D2DFC" w14:textId="77777777" w:rsidR="003C32EE" w:rsidRDefault="001D17FD">
      <w:pPr>
        <w:pBdr>
          <w:top w:val="nil"/>
          <w:left w:val="nil"/>
          <w:bottom w:val="nil"/>
          <w:right w:val="nil"/>
          <w:between w:val="nil"/>
        </w:pBdr>
        <w:ind w:left="1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SAU 7 School Board: Adopted – November 10, 2021</w:t>
      </w:r>
    </w:p>
    <w:p w14:paraId="0889EAC7" w14:textId="77777777" w:rsidR="003C32EE" w:rsidRDefault="001D17FD">
      <w:pPr>
        <w:pBdr>
          <w:top w:val="nil"/>
          <w:left w:val="nil"/>
          <w:bottom w:val="nil"/>
          <w:right w:val="nil"/>
          <w:between w:val="nil"/>
        </w:pBdr>
        <w:ind w:left="140"/>
        <w:rPr>
          <w:sz w:val="20"/>
          <w:szCs w:val="20"/>
        </w:rPr>
      </w:pPr>
      <w:r>
        <w:rPr>
          <w:sz w:val="20"/>
          <w:szCs w:val="20"/>
        </w:rPr>
        <w:t>Pittsburg School Board: Revised - November 14, 2022</w:t>
      </w:r>
    </w:p>
    <w:p w14:paraId="2E0079AF" w14:textId="77777777" w:rsidR="003C32EE" w:rsidRDefault="001D17FD">
      <w:pPr>
        <w:pBdr>
          <w:top w:val="nil"/>
          <w:left w:val="nil"/>
          <w:bottom w:val="nil"/>
          <w:right w:val="nil"/>
          <w:between w:val="nil"/>
        </w:pBdr>
        <w:ind w:left="140"/>
        <w:rPr>
          <w:sz w:val="20"/>
          <w:szCs w:val="20"/>
        </w:rPr>
      </w:pPr>
      <w:r>
        <w:rPr>
          <w:sz w:val="20"/>
          <w:szCs w:val="20"/>
        </w:rPr>
        <w:t>Colebrook School Board: Revised - November 15, 2022</w:t>
      </w:r>
    </w:p>
    <w:p w14:paraId="01C0D41C" w14:textId="58B197C4" w:rsidR="003C32EE" w:rsidRDefault="001D17FD">
      <w:pPr>
        <w:pBdr>
          <w:top w:val="nil"/>
          <w:left w:val="nil"/>
          <w:bottom w:val="nil"/>
          <w:right w:val="nil"/>
          <w:between w:val="nil"/>
        </w:pBdr>
        <w:ind w:left="140"/>
        <w:rPr>
          <w:sz w:val="20"/>
          <w:szCs w:val="20"/>
        </w:rPr>
      </w:pPr>
      <w:r>
        <w:rPr>
          <w:sz w:val="20"/>
          <w:szCs w:val="20"/>
        </w:rPr>
        <w:t>Clarksville School Board: Revised - December 12, 2022</w:t>
      </w:r>
    </w:p>
    <w:p w14:paraId="0080458E" w14:textId="2D90669F" w:rsidR="001D17FD" w:rsidRDefault="001D17FD" w:rsidP="001D17FD">
      <w:pPr>
        <w:pBdr>
          <w:top w:val="nil"/>
          <w:left w:val="nil"/>
          <w:bottom w:val="nil"/>
          <w:right w:val="nil"/>
          <w:between w:val="nil"/>
        </w:pBdr>
        <w:ind w:left="140"/>
        <w:rPr>
          <w:sz w:val="20"/>
          <w:szCs w:val="20"/>
        </w:rPr>
      </w:pPr>
      <w:r>
        <w:rPr>
          <w:sz w:val="20"/>
          <w:szCs w:val="20"/>
        </w:rPr>
        <w:t xml:space="preserve">Columbia School Board: Revised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January 3</w:t>
      </w:r>
      <w:r>
        <w:rPr>
          <w:sz w:val="20"/>
          <w:szCs w:val="20"/>
        </w:rPr>
        <w:t>, 202</w:t>
      </w:r>
      <w:r>
        <w:rPr>
          <w:sz w:val="20"/>
          <w:szCs w:val="20"/>
        </w:rPr>
        <w:t>3</w:t>
      </w:r>
    </w:p>
    <w:p w14:paraId="5D95E454" w14:textId="77777777" w:rsidR="003C32EE" w:rsidRDefault="001D17FD">
      <w:pPr>
        <w:pBdr>
          <w:top w:val="nil"/>
          <w:left w:val="nil"/>
          <w:bottom w:val="nil"/>
          <w:right w:val="nil"/>
          <w:between w:val="nil"/>
        </w:pBdr>
        <w:ind w:left="140"/>
        <w:rPr>
          <w:sz w:val="20"/>
          <w:szCs w:val="20"/>
        </w:rPr>
      </w:pPr>
      <w:r>
        <w:rPr>
          <w:sz w:val="20"/>
          <w:szCs w:val="20"/>
        </w:rPr>
        <w:t>Stewartstown School Board: Revised - January 4, 2023</w:t>
      </w:r>
    </w:p>
    <w:sectPr w:rsidR="003C32EE">
      <w:pgSz w:w="12240" w:h="15840"/>
      <w:pgMar w:top="1360" w:right="1300" w:bottom="280" w:left="13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05C0"/>
    <w:multiLevelType w:val="multilevel"/>
    <w:tmpl w:val="A398712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C963B3"/>
    <w:multiLevelType w:val="multilevel"/>
    <w:tmpl w:val="2BC0C64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76D6B"/>
    <w:multiLevelType w:val="multilevel"/>
    <w:tmpl w:val="D02261FA"/>
    <w:lvl w:ilvl="0">
      <w:start w:val="1"/>
      <w:numFmt w:val="lowerLetter"/>
      <w:lvlText w:val="%1."/>
      <w:lvlJc w:val="left"/>
      <w:pPr>
        <w:ind w:left="1300" w:hanging="360"/>
      </w:pPr>
    </w:lvl>
    <w:lvl w:ilvl="1">
      <w:start w:val="1"/>
      <w:numFmt w:val="lowerLetter"/>
      <w:lvlText w:val="%2."/>
      <w:lvlJc w:val="left"/>
      <w:pPr>
        <w:ind w:left="2020" w:hanging="360"/>
      </w:pPr>
    </w:lvl>
    <w:lvl w:ilvl="2">
      <w:start w:val="1"/>
      <w:numFmt w:val="lowerRoman"/>
      <w:lvlText w:val="%3."/>
      <w:lvlJc w:val="right"/>
      <w:pPr>
        <w:ind w:left="2740" w:hanging="180"/>
      </w:pPr>
    </w:lvl>
    <w:lvl w:ilvl="3">
      <w:start w:val="1"/>
      <w:numFmt w:val="decimal"/>
      <w:lvlText w:val="%4."/>
      <w:lvlJc w:val="left"/>
      <w:pPr>
        <w:ind w:left="3460" w:hanging="360"/>
      </w:pPr>
    </w:lvl>
    <w:lvl w:ilvl="4">
      <w:start w:val="1"/>
      <w:numFmt w:val="lowerLetter"/>
      <w:lvlText w:val="%5."/>
      <w:lvlJc w:val="left"/>
      <w:pPr>
        <w:ind w:left="4180" w:hanging="360"/>
      </w:pPr>
    </w:lvl>
    <w:lvl w:ilvl="5">
      <w:start w:val="1"/>
      <w:numFmt w:val="lowerRoman"/>
      <w:lvlText w:val="%6."/>
      <w:lvlJc w:val="right"/>
      <w:pPr>
        <w:ind w:left="4900" w:hanging="180"/>
      </w:pPr>
    </w:lvl>
    <w:lvl w:ilvl="6">
      <w:start w:val="1"/>
      <w:numFmt w:val="decimal"/>
      <w:lvlText w:val="%7."/>
      <w:lvlJc w:val="left"/>
      <w:pPr>
        <w:ind w:left="5620" w:hanging="360"/>
      </w:pPr>
    </w:lvl>
    <w:lvl w:ilvl="7">
      <w:start w:val="1"/>
      <w:numFmt w:val="lowerLetter"/>
      <w:lvlText w:val="%8."/>
      <w:lvlJc w:val="left"/>
      <w:pPr>
        <w:ind w:left="6340" w:hanging="360"/>
      </w:pPr>
    </w:lvl>
    <w:lvl w:ilvl="8">
      <w:start w:val="1"/>
      <w:numFmt w:val="lowerRoman"/>
      <w:lvlText w:val="%9."/>
      <w:lvlJc w:val="right"/>
      <w:pPr>
        <w:ind w:left="7060" w:hanging="180"/>
      </w:pPr>
    </w:lvl>
  </w:abstractNum>
  <w:abstractNum w:abstractNumId="3" w15:restartNumberingAfterBreak="0">
    <w:nsid w:val="4CC86C94"/>
    <w:multiLevelType w:val="multilevel"/>
    <w:tmpl w:val="81447C50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202BE"/>
    <w:multiLevelType w:val="multilevel"/>
    <w:tmpl w:val="B188433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AA492D"/>
    <w:multiLevelType w:val="multilevel"/>
    <w:tmpl w:val="07E08F78"/>
    <w:lvl w:ilvl="0">
      <w:start w:val="1"/>
      <w:numFmt w:val="lowerLetter"/>
      <w:lvlText w:val="%1."/>
      <w:lvlJc w:val="left"/>
      <w:pPr>
        <w:ind w:left="2020" w:hanging="360"/>
      </w:pPr>
    </w:lvl>
    <w:lvl w:ilvl="1">
      <w:start w:val="1"/>
      <w:numFmt w:val="lowerLetter"/>
      <w:lvlText w:val="%2."/>
      <w:lvlJc w:val="left"/>
      <w:pPr>
        <w:ind w:left="2740" w:hanging="360"/>
      </w:pPr>
    </w:lvl>
    <w:lvl w:ilvl="2">
      <w:start w:val="1"/>
      <w:numFmt w:val="lowerRoman"/>
      <w:lvlText w:val="%3."/>
      <w:lvlJc w:val="right"/>
      <w:pPr>
        <w:ind w:left="3460" w:hanging="180"/>
      </w:pPr>
    </w:lvl>
    <w:lvl w:ilvl="3">
      <w:start w:val="1"/>
      <w:numFmt w:val="decimal"/>
      <w:lvlText w:val="%4."/>
      <w:lvlJc w:val="left"/>
      <w:pPr>
        <w:ind w:left="4180" w:hanging="360"/>
      </w:pPr>
    </w:lvl>
    <w:lvl w:ilvl="4">
      <w:start w:val="1"/>
      <w:numFmt w:val="lowerLetter"/>
      <w:lvlText w:val="%5."/>
      <w:lvlJc w:val="left"/>
      <w:pPr>
        <w:ind w:left="4900" w:hanging="360"/>
      </w:pPr>
    </w:lvl>
    <w:lvl w:ilvl="5">
      <w:start w:val="1"/>
      <w:numFmt w:val="lowerRoman"/>
      <w:lvlText w:val="%6."/>
      <w:lvlJc w:val="right"/>
      <w:pPr>
        <w:ind w:left="5620" w:hanging="180"/>
      </w:pPr>
    </w:lvl>
    <w:lvl w:ilvl="6">
      <w:start w:val="1"/>
      <w:numFmt w:val="decimal"/>
      <w:lvlText w:val="%7."/>
      <w:lvlJc w:val="left"/>
      <w:pPr>
        <w:ind w:left="6340" w:hanging="360"/>
      </w:pPr>
    </w:lvl>
    <w:lvl w:ilvl="7">
      <w:start w:val="1"/>
      <w:numFmt w:val="lowerLetter"/>
      <w:lvlText w:val="%8."/>
      <w:lvlJc w:val="left"/>
      <w:pPr>
        <w:ind w:left="7060" w:hanging="360"/>
      </w:pPr>
    </w:lvl>
    <w:lvl w:ilvl="8">
      <w:start w:val="1"/>
      <w:numFmt w:val="lowerRoman"/>
      <w:lvlText w:val="%9."/>
      <w:lvlJc w:val="right"/>
      <w:pPr>
        <w:ind w:left="7780" w:hanging="180"/>
      </w:pPr>
    </w:lvl>
  </w:abstractNum>
  <w:num w:numId="1" w16cid:durableId="1812479285">
    <w:abstractNumId w:val="1"/>
  </w:num>
  <w:num w:numId="2" w16cid:durableId="785272819">
    <w:abstractNumId w:val="2"/>
  </w:num>
  <w:num w:numId="3" w16cid:durableId="54473001">
    <w:abstractNumId w:val="3"/>
  </w:num>
  <w:num w:numId="4" w16cid:durableId="1824740818">
    <w:abstractNumId w:val="5"/>
  </w:num>
  <w:num w:numId="5" w16cid:durableId="1577546643">
    <w:abstractNumId w:val="4"/>
  </w:num>
  <w:num w:numId="6" w16cid:durableId="197232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EE"/>
    <w:rsid w:val="001D17FD"/>
    <w:rsid w:val="003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D8D6"/>
  <w15:docId w15:val="{E41D7CA6-40F2-4A1E-8296-4483693B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line="322" w:lineRule="exact"/>
      <w:ind w:left="608" w:right="60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semiHidden/>
    <w:unhideWhenUsed/>
    <w:qFormat/>
    <w:pPr>
      <w:spacing w:before="180"/>
      <w:ind w:left="500" w:hanging="360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180"/>
      <w:ind w:left="8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80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E81ABF"/>
    <w:pPr>
      <w:widowControl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ABF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ABF"/>
    <w:rPr>
      <w:vertAlign w:val="superscript"/>
    </w:rPr>
  </w:style>
  <w:style w:type="paragraph" w:customStyle="1" w:styleId="bodytext0">
    <w:name w:val="bodytext"/>
    <w:basedOn w:val="Normal"/>
    <w:rsid w:val="00E81ABF"/>
    <w:pPr>
      <w:widowControl/>
      <w:spacing w:before="100" w:beforeAutospacing="1" w:after="100" w:afterAutospacing="1" w:line="264" w:lineRule="auto"/>
    </w:pPr>
    <w:rPr>
      <w:rFonts w:eastAsiaTheme="minorHAnsi" w:cs="Calibri"/>
      <w:sz w:val="20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J/ienokai8qzL7fqmDLsaAG8cQ==">AMUW2mWbE0UHmBxuun6+niZGc3wM4MJmk0IvXG9Wb9bno4i88Bi9ugralGJYgnHyGCYLyID7ds66s3eMXIvSkAEh/sECQx/ys09dZy+T3YJMcuvmxnxYUec=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1702</Words>
  <Characters>9706</Characters>
  <Application>Microsoft Office Word</Application>
  <DocSecurity>0</DocSecurity>
  <Lines>80</Lines>
  <Paragraphs>22</Paragraphs>
  <ScaleCrop>false</ScaleCrop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Phillips</dc:creator>
  <cp:lastModifiedBy>Billie Paquette</cp:lastModifiedBy>
  <cp:revision>2</cp:revision>
  <dcterms:created xsi:type="dcterms:W3CDTF">2022-12-22T17:07:00Z</dcterms:created>
  <dcterms:modified xsi:type="dcterms:W3CDTF">2022-12-22T17:07:00Z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2022-10-27T00:00:00Z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D:20211120174235</vt:lpwstr>
  </property>
</Properties>
</file>