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F8" w:rsidRPr="003F3455" w:rsidRDefault="00BC29F8" w:rsidP="00BC29F8">
      <w:pPr>
        <w:jc w:val="center"/>
        <w:rPr>
          <w:rFonts w:ascii="Garamond" w:hAnsi="Garamond"/>
        </w:rPr>
      </w:pPr>
      <w:bookmarkStart w:id="0" w:name="_GoBack"/>
      <w:bookmarkEnd w:id="0"/>
      <w:r>
        <w:rPr>
          <w:rFonts w:ascii="Garamond" w:hAnsi="Garamond"/>
        </w:rPr>
        <w:t xml:space="preserve">APPENDIX </w:t>
      </w:r>
      <w:r w:rsidR="00387C74">
        <w:rPr>
          <w:rFonts w:ascii="Garamond" w:hAnsi="Garamond"/>
        </w:rPr>
        <w:t>X</w:t>
      </w:r>
    </w:p>
    <w:p w:rsidR="00BC29F8" w:rsidRDefault="00BC29F8" w:rsidP="00BC29F8">
      <w:pPr>
        <w:spacing w:after="0" w:line="240" w:lineRule="auto"/>
        <w:jc w:val="center"/>
        <w:rPr>
          <w:rFonts w:ascii="Garamond" w:hAnsi="Garamond"/>
          <w:b/>
        </w:rPr>
      </w:pPr>
      <w:r w:rsidRPr="003F3455">
        <w:rPr>
          <w:rFonts w:ascii="Garamond" w:hAnsi="Garamond"/>
          <w:b/>
        </w:rPr>
        <w:t xml:space="preserve">Gadsden’s </w:t>
      </w:r>
      <w:r>
        <w:rPr>
          <w:rFonts w:ascii="Garamond" w:hAnsi="Garamond"/>
          <w:b/>
        </w:rPr>
        <w:t xml:space="preserve">Academic Coach </w:t>
      </w:r>
      <w:r w:rsidRPr="003F3455">
        <w:rPr>
          <w:rFonts w:ascii="Garamond" w:hAnsi="Garamond"/>
          <w:b/>
        </w:rPr>
        <w:t>Evaluation Tool</w:t>
      </w:r>
    </w:p>
    <w:p w:rsidR="00B9459E" w:rsidRPr="003F3455" w:rsidRDefault="00B9459E" w:rsidP="00BC29F8">
      <w:pPr>
        <w:spacing w:after="0" w:line="240" w:lineRule="auto"/>
        <w:jc w:val="center"/>
        <w:rPr>
          <w:rFonts w:ascii="Garamond" w:hAnsi="Garamond"/>
          <w:b/>
        </w:rPr>
      </w:pPr>
    </w:p>
    <w:tbl>
      <w:tblPr>
        <w:tblW w:w="111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blLook w:val="04A0" w:firstRow="1" w:lastRow="0" w:firstColumn="1" w:lastColumn="0" w:noHBand="0" w:noVBand="1"/>
      </w:tblPr>
      <w:tblGrid>
        <w:gridCol w:w="1800"/>
        <w:gridCol w:w="4950"/>
        <w:gridCol w:w="1980"/>
        <w:gridCol w:w="2430"/>
      </w:tblGrid>
      <w:tr w:rsidR="00BC29F8" w:rsidRPr="00EF0AA3" w:rsidTr="00C72111">
        <w:tc>
          <w:tcPr>
            <w:tcW w:w="1800" w:type="dxa"/>
            <w:tcBorders>
              <w:top w:val="nil"/>
              <w:left w:val="nil"/>
              <w:bottom w:val="nil"/>
              <w:right w:val="nil"/>
            </w:tcBorders>
            <w:shd w:val="clear" w:color="auto" w:fill="F2DBDB"/>
          </w:tcPr>
          <w:p w:rsidR="00BC29F8" w:rsidRPr="00EF0AA3" w:rsidRDefault="00BC29F8" w:rsidP="00C72111">
            <w:pPr>
              <w:autoSpaceDE w:val="0"/>
              <w:autoSpaceDN w:val="0"/>
              <w:adjustRightInd w:val="0"/>
              <w:spacing w:after="0" w:line="240" w:lineRule="auto"/>
              <w:rPr>
                <w:rFonts w:ascii="Cambria" w:hAnsi="Cambria"/>
                <w:b/>
                <w:color w:val="000000"/>
                <w:sz w:val="20"/>
                <w:szCs w:val="20"/>
              </w:rPr>
            </w:pPr>
          </w:p>
          <w:p w:rsidR="00BC29F8" w:rsidRPr="00EF0AA3" w:rsidRDefault="00BC29F8" w:rsidP="00C72111">
            <w:pPr>
              <w:autoSpaceDE w:val="0"/>
              <w:autoSpaceDN w:val="0"/>
              <w:adjustRightInd w:val="0"/>
              <w:spacing w:after="0" w:line="240" w:lineRule="auto"/>
              <w:rPr>
                <w:rFonts w:ascii="Cambria" w:hAnsi="Cambria"/>
                <w:b/>
                <w:color w:val="000000"/>
                <w:sz w:val="20"/>
                <w:szCs w:val="20"/>
              </w:rPr>
            </w:pPr>
            <w:r w:rsidRPr="00EF0AA3">
              <w:rPr>
                <w:rFonts w:ascii="Cambria" w:hAnsi="Cambria"/>
                <w:b/>
                <w:color w:val="000000"/>
                <w:sz w:val="20"/>
                <w:szCs w:val="20"/>
              </w:rPr>
              <w:t>School:</w:t>
            </w:r>
          </w:p>
        </w:tc>
        <w:tc>
          <w:tcPr>
            <w:tcW w:w="4950" w:type="dxa"/>
            <w:tcBorders>
              <w:top w:val="nil"/>
              <w:left w:val="nil"/>
              <w:right w:val="nil"/>
            </w:tcBorders>
            <w:shd w:val="clear" w:color="auto" w:fill="F2DBDB"/>
          </w:tcPr>
          <w:p w:rsidR="00BC29F8" w:rsidRPr="00EF0AA3" w:rsidRDefault="00BC29F8" w:rsidP="00C72111">
            <w:pPr>
              <w:autoSpaceDE w:val="0"/>
              <w:autoSpaceDN w:val="0"/>
              <w:adjustRightInd w:val="0"/>
              <w:spacing w:after="0" w:line="240" w:lineRule="auto"/>
              <w:rPr>
                <w:rFonts w:ascii="Cambria" w:hAnsi="Cambria"/>
                <w:color w:val="000000"/>
                <w:sz w:val="20"/>
                <w:szCs w:val="20"/>
              </w:rPr>
            </w:pPr>
          </w:p>
          <w:p w:rsidR="00BC29F8" w:rsidRPr="00EF0AA3" w:rsidRDefault="00BC29F8" w:rsidP="00C72111">
            <w:pPr>
              <w:autoSpaceDE w:val="0"/>
              <w:autoSpaceDN w:val="0"/>
              <w:adjustRightInd w:val="0"/>
              <w:spacing w:after="0" w:line="240" w:lineRule="auto"/>
              <w:rPr>
                <w:rFonts w:ascii="Cambria" w:hAnsi="Cambria"/>
                <w:color w:val="000000"/>
                <w:sz w:val="20"/>
                <w:szCs w:val="20"/>
              </w:rPr>
            </w:pPr>
          </w:p>
        </w:tc>
        <w:tc>
          <w:tcPr>
            <w:tcW w:w="1980" w:type="dxa"/>
            <w:tcBorders>
              <w:top w:val="nil"/>
              <w:left w:val="nil"/>
              <w:bottom w:val="nil"/>
              <w:right w:val="nil"/>
            </w:tcBorders>
            <w:shd w:val="clear" w:color="auto" w:fill="F2DBDB"/>
          </w:tcPr>
          <w:p w:rsidR="00BC29F8" w:rsidRPr="00EF0AA3" w:rsidRDefault="00BC29F8" w:rsidP="00C72111">
            <w:pPr>
              <w:autoSpaceDE w:val="0"/>
              <w:autoSpaceDN w:val="0"/>
              <w:adjustRightInd w:val="0"/>
              <w:spacing w:after="0" w:line="240" w:lineRule="auto"/>
              <w:jc w:val="right"/>
              <w:rPr>
                <w:rFonts w:ascii="Cambria" w:hAnsi="Cambria"/>
                <w:b/>
                <w:color w:val="000000"/>
                <w:sz w:val="20"/>
                <w:szCs w:val="20"/>
              </w:rPr>
            </w:pPr>
          </w:p>
          <w:p w:rsidR="00BC29F8" w:rsidRPr="00EF0AA3" w:rsidRDefault="00BC29F8" w:rsidP="00C72111">
            <w:pPr>
              <w:autoSpaceDE w:val="0"/>
              <w:autoSpaceDN w:val="0"/>
              <w:adjustRightInd w:val="0"/>
              <w:spacing w:after="0" w:line="240" w:lineRule="auto"/>
              <w:jc w:val="right"/>
              <w:rPr>
                <w:rFonts w:ascii="Cambria" w:hAnsi="Cambria"/>
                <w:b/>
                <w:color w:val="000000"/>
                <w:sz w:val="20"/>
                <w:szCs w:val="20"/>
              </w:rPr>
            </w:pPr>
            <w:r w:rsidRPr="00EF0AA3">
              <w:rPr>
                <w:rFonts w:ascii="Cambria" w:hAnsi="Cambria"/>
                <w:b/>
                <w:color w:val="000000"/>
                <w:sz w:val="20"/>
                <w:szCs w:val="20"/>
              </w:rPr>
              <w:t>School Year:</w:t>
            </w:r>
          </w:p>
        </w:tc>
        <w:tc>
          <w:tcPr>
            <w:tcW w:w="2430" w:type="dxa"/>
            <w:tcBorders>
              <w:top w:val="nil"/>
              <w:left w:val="nil"/>
              <w:right w:val="nil"/>
            </w:tcBorders>
            <w:shd w:val="clear" w:color="auto" w:fill="F2DBDB"/>
          </w:tcPr>
          <w:p w:rsidR="00BC29F8" w:rsidRPr="00EF0AA3" w:rsidRDefault="00BC29F8" w:rsidP="00C72111">
            <w:pPr>
              <w:autoSpaceDE w:val="0"/>
              <w:autoSpaceDN w:val="0"/>
              <w:adjustRightInd w:val="0"/>
              <w:spacing w:after="0" w:line="240" w:lineRule="auto"/>
              <w:rPr>
                <w:rFonts w:ascii="Cambria" w:hAnsi="Cambria"/>
                <w:color w:val="000000"/>
                <w:sz w:val="20"/>
                <w:szCs w:val="20"/>
              </w:rPr>
            </w:pPr>
          </w:p>
          <w:p w:rsidR="00BC29F8" w:rsidRPr="00EF0AA3" w:rsidRDefault="00BC29F8" w:rsidP="00C72111">
            <w:pPr>
              <w:autoSpaceDE w:val="0"/>
              <w:autoSpaceDN w:val="0"/>
              <w:adjustRightInd w:val="0"/>
              <w:spacing w:after="0" w:line="240" w:lineRule="auto"/>
              <w:rPr>
                <w:rFonts w:ascii="Cambria" w:hAnsi="Cambria"/>
                <w:color w:val="000000"/>
                <w:sz w:val="20"/>
                <w:szCs w:val="20"/>
              </w:rPr>
            </w:pPr>
          </w:p>
        </w:tc>
      </w:tr>
      <w:tr w:rsidR="00BC29F8" w:rsidRPr="00EF0AA3" w:rsidTr="00C72111">
        <w:tc>
          <w:tcPr>
            <w:tcW w:w="1800" w:type="dxa"/>
            <w:tcBorders>
              <w:top w:val="nil"/>
              <w:left w:val="nil"/>
              <w:bottom w:val="nil"/>
              <w:right w:val="nil"/>
            </w:tcBorders>
            <w:shd w:val="clear" w:color="auto" w:fill="F2DBDB"/>
          </w:tcPr>
          <w:p w:rsidR="00BC29F8" w:rsidRPr="00EF0AA3" w:rsidRDefault="00BC29F8" w:rsidP="00C72111">
            <w:pPr>
              <w:autoSpaceDE w:val="0"/>
              <w:autoSpaceDN w:val="0"/>
              <w:adjustRightInd w:val="0"/>
              <w:spacing w:after="0" w:line="240" w:lineRule="auto"/>
              <w:rPr>
                <w:rFonts w:ascii="Cambria" w:hAnsi="Cambria"/>
                <w:b/>
                <w:color w:val="000000"/>
                <w:sz w:val="20"/>
                <w:szCs w:val="20"/>
              </w:rPr>
            </w:pPr>
          </w:p>
          <w:p w:rsidR="00BC29F8" w:rsidRPr="00EF0AA3" w:rsidRDefault="00BC29F8" w:rsidP="00C72111">
            <w:pPr>
              <w:autoSpaceDE w:val="0"/>
              <w:autoSpaceDN w:val="0"/>
              <w:adjustRightInd w:val="0"/>
              <w:spacing w:after="0" w:line="240" w:lineRule="auto"/>
              <w:rPr>
                <w:rFonts w:ascii="Cambria" w:hAnsi="Cambria"/>
                <w:b/>
                <w:color w:val="000000"/>
                <w:sz w:val="20"/>
                <w:szCs w:val="20"/>
              </w:rPr>
            </w:pPr>
            <w:r w:rsidRPr="00EF0AA3">
              <w:rPr>
                <w:rFonts w:ascii="Cambria" w:hAnsi="Cambria"/>
                <w:b/>
                <w:color w:val="000000"/>
                <w:sz w:val="20"/>
                <w:szCs w:val="20"/>
              </w:rPr>
              <w:t>Academic Coach:</w:t>
            </w:r>
          </w:p>
        </w:tc>
        <w:tc>
          <w:tcPr>
            <w:tcW w:w="4950" w:type="dxa"/>
            <w:tcBorders>
              <w:left w:val="nil"/>
              <w:bottom w:val="single" w:sz="4" w:space="0" w:color="000000"/>
              <w:right w:val="nil"/>
            </w:tcBorders>
            <w:shd w:val="clear" w:color="auto" w:fill="F2DBDB"/>
          </w:tcPr>
          <w:p w:rsidR="00BC29F8" w:rsidRPr="00EF0AA3" w:rsidRDefault="00BC29F8" w:rsidP="00C72111">
            <w:pPr>
              <w:autoSpaceDE w:val="0"/>
              <w:autoSpaceDN w:val="0"/>
              <w:adjustRightInd w:val="0"/>
              <w:spacing w:after="0" w:line="240" w:lineRule="auto"/>
              <w:rPr>
                <w:rFonts w:ascii="Cambria" w:hAnsi="Cambria"/>
                <w:color w:val="000000"/>
                <w:sz w:val="20"/>
                <w:szCs w:val="20"/>
              </w:rPr>
            </w:pPr>
          </w:p>
          <w:p w:rsidR="00BC29F8" w:rsidRPr="00EF0AA3" w:rsidRDefault="00BC29F8" w:rsidP="00C72111">
            <w:pPr>
              <w:autoSpaceDE w:val="0"/>
              <w:autoSpaceDN w:val="0"/>
              <w:adjustRightInd w:val="0"/>
              <w:spacing w:after="0" w:line="240" w:lineRule="auto"/>
              <w:rPr>
                <w:rFonts w:ascii="Cambria" w:hAnsi="Cambria"/>
                <w:color w:val="000000"/>
                <w:sz w:val="20"/>
                <w:szCs w:val="20"/>
              </w:rPr>
            </w:pPr>
          </w:p>
        </w:tc>
        <w:tc>
          <w:tcPr>
            <w:tcW w:w="1980" w:type="dxa"/>
            <w:tcBorders>
              <w:top w:val="nil"/>
              <w:left w:val="nil"/>
              <w:bottom w:val="nil"/>
              <w:right w:val="nil"/>
            </w:tcBorders>
            <w:shd w:val="clear" w:color="auto" w:fill="F2DBDB"/>
          </w:tcPr>
          <w:p w:rsidR="00BC29F8" w:rsidRPr="00EF0AA3" w:rsidRDefault="00BC29F8" w:rsidP="00C72111">
            <w:pPr>
              <w:autoSpaceDE w:val="0"/>
              <w:autoSpaceDN w:val="0"/>
              <w:adjustRightInd w:val="0"/>
              <w:spacing w:after="0" w:line="240" w:lineRule="auto"/>
              <w:jc w:val="right"/>
              <w:rPr>
                <w:rFonts w:ascii="Cambria" w:hAnsi="Cambria"/>
                <w:b/>
                <w:color w:val="000000"/>
                <w:sz w:val="20"/>
                <w:szCs w:val="20"/>
              </w:rPr>
            </w:pPr>
          </w:p>
          <w:p w:rsidR="00BC29F8" w:rsidRPr="00EF0AA3" w:rsidRDefault="00BC29F8" w:rsidP="00C72111">
            <w:pPr>
              <w:autoSpaceDE w:val="0"/>
              <w:autoSpaceDN w:val="0"/>
              <w:adjustRightInd w:val="0"/>
              <w:spacing w:after="0" w:line="240" w:lineRule="auto"/>
              <w:jc w:val="right"/>
              <w:rPr>
                <w:rFonts w:ascii="Cambria" w:hAnsi="Cambria"/>
                <w:b/>
                <w:color w:val="000000"/>
                <w:sz w:val="20"/>
                <w:szCs w:val="20"/>
              </w:rPr>
            </w:pPr>
            <w:r w:rsidRPr="00EF0AA3">
              <w:rPr>
                <w:rFonts w:ascii="Cambria" w:hAnsi="Cambria"/>
                <w:b/>
                <w:color w:val="000000"/>
                <w:sz w:val="20"/>
                <w:szCs w:val="20"/>
              </w:rPr>
              <w:t>Content Area:</w:t>
            </w:r>
          </w:p>
        </w:tc>
        <w:tc>
          <w:tcPr>
            <w:tcW w:w="2430" w:type="dxa"/>
            <w:tcBorders>
              <w:left w:val="nil"/>
              <w:bottom w:val="single" w:sz="4" w:space="0" w:color="000000"/>
              <w:right w:val="nil"/>
            </w:tcBorders>
            <w:shd w:val="clear" w:color="auto" w:fill="F2DBDB"/>
          </w:tcPr>
          <w:p w:rsidR="00BC29F8" w:rsidRPr="00EF0AA3" w:rsidRDefault="00BC29F8" w:rsidP="00C72111">
            <w:pPr>
              <w:autoSpaceDE w:val="0"/>
              <w:autoSpaceDN w:val="0"/>
              <w:adjustRightInd w:val="0"/>
              <w:spacing w:after="0" w:line="240" w:lineRule="auto"/>
              <w:rPr>
                <w:rFonts w:ascii="Cambria" w:hAnsi="Cambria"/>
                <w:color w:val="000000"/>
                <w:sz w:val="20"/>
                <w:szCs w:val="20"/>
              </w:rPr>
            </w:pPr>
          </w:p>
          <w:p w:rsidR="00BC29F8" w:rsidRPr="00EF0AA3" w:rsidRDefault="00BC29F8" w:rsidP="00C72111">
            <w:pPr>
              <w:autoSpaceDE w:val="0"/>
              <w:autoSpaceDN w:val="0"/>
              <w:adjustRightInd w:val="0"/>
              <w:spacing w:after="0" w:line="240" w:lineRule="auto"/>
              <w:rPr>
                <w:rFonts w:ascii="Cambria" w:hAnsi="Cambria"/>
                <w:color w:val="000000"/>
                <w:sz w:val="20"/>
                <w:szCs w:val="20"/>
              </w:rPr>
            </w:pPr>
          </w:p>
        </w:tc>
      </w:tr>
      <w:tr w:rsidR="00BC29F8" w:rsidRPr="00EF0AA3" w:rsidTr="00C72111">
        <w:tc>
          <w:tcPr>
            <w:tcW w:w="1800" w:type="dxa"/>
            <w:tcBorders>
              <w:top w:val="nil"/>
              <w:left w:val="nil"/>
              <w:bottom w:val="nil"/>
              <w:right w:val="nil"/>
            </w:tcBorders>
            <w:shd w:val="clear" w:color="auto" w:fill="F2DBDB"/>
          </w:tcPr>
          <w:p w:rsidR="00BC29F8" w:rsidRPr="00EF0AA3" w:rsidRDefault="00BC29F8" w:rsidP="00C72111">
            <w:pPr>
              <w:autoSpaceDE w:val="0"/>
              <w:autoSpaceDN w:val="0"/>
              <w:adjustRightInd w:val="0"/>
              <w:spacing w:after="0" w:line="240" w:lineRule="auto"/>
              <w:rPr>
                <w:rFonts w:ascii="Cambria" w:hAnsi="Cambria"/>
                <w:b/>
                <w:color w:val="000000"/>
                <w:sz w:val="20"/>
                <w:szCs w:val="20"/>
              </w:rPr>
            </w:pPr>
          </w:p>
          <w:p w:rsidR="00BC29F8" w:rsidRPr="00EF0AA3" w:rsidRDefault="00BC29F8" w:rsidP="00C72111">
            <w:pPr>
              <w:autoSpaceDE w:val="0"/>
              <w:autoSpaceDN w:val="0"/>
              <w:adjustRightInd w:val="0"/>
              <w:spacing w:after="0" w:line="240" w:lineRule="auto"/>
              <w:rPr>
                <w:rFonts w:ascii="Cambria" w:hAnsi="Cambria"/>
                <w:b/>
                <w:color w:val="000000"/>
                <w:sz w:val="20"/>
                <w:szCs w:val="20"/>
              </w:rPr>
            </w:pPr>
            <w:r w:rsidRPr="00EF0AA3">
              <w:rPr>
                <w:rFonts w:ascii="Cambria" w:hAnsi="Cambria"/>
                <w:b/>
                <w:color w:val="000000"/>
                <w:sz w:val="20"/>
                <w:szCs w:val="20"/>
              </w:rPr>
              <w:t>Principal:</w:t>
            </w:r>
          </w:p>
        </w:tc>
        <w:tc>
          <w:tcPr>
            <w:tcW w:w="4950" w:type="dxa"/>
            <w:tcBorders>
              <w:left w:val="nil"/>
              <w:bottom w:val="single" w:sz="4" w:space="0" w:color="auto"/>
              <w:right w:val="nil"/>
            </w:tcBorders>
            <w:shd w:val="clear" w:color="auto" w:fill="F2DBDB"/>
          </w:tcPr>
          <w:p w:rsidR="00BC29F8" w:rsidRPr="00EF0AA3" w:rsidRDefault="00BC29F8" w:rsidP="00C72111">
            <w:pPr>
              <w:autoSpaceDE w:val="0"/>
              <w:autoSpaceDN w:val="0"/>
              <w:adjustRightInd w:val="0"/>
              <w:spacing w:after="0" w:line="240" w:lineRule="auto"/>
              <w:rPr>
                <w:rFonts w:ascii="Cambria" w:hAnsi="Cambria"/>
                <w:color w:val="000000"/>
                <w:sz w:val="20"/>
                <w:szCs w:val="20"/>
              </w:rPr>
            </w:pPr>
          </w:p>
          <w:p w:rsidR="00BC29F8" w:rsidRPr="00EF0AA3" w:rsidRDefault="00BC29F8" w:rsidP="00C72111">
            <w:pPr>
              <w:autoSpaceDE w:val="0"/>
              <w:autoSpaceDN w:val="0"/>
              <w:adjustRightInd w:val="0"/>
              <w:spacing w:after="0" w:line="240" w:lineRule="auto"/>
              <w:rPr>
                <w:rFonts w:ascii="Cambria" w:hAnsi="Cambria"/>
                <w:color w:val="000000"/>
                <w:sz w:val="20"/>
                <w:szCs w:val="20"/>
              </w:rPr>
            </w:pPr>
          </w:p>
        </w:tc>
        <w:tc>
          <w:tcPr>
            <w:tcW w:w="1980" w:type="dxa"/>
            <w:tcBorders>
              <w:top w:val="nil"/>
              <w:left w:val="nil"/>
              <w:bottom w:val="nil"/>
              <w:right w:val="nil"/>
            </w:tcBorders>
            <w:shd w:val="clear" w:color="auto" w:fill="F2DBDB"/>
          </w:tcPr>
          <w:p w:rsidR="00BC29F8" w:rsidRPr="00EF0AA3" w:rsidRDefault="00BC29F8" w:rsidP="00C72111">
            <w:pPr>
              <w:autoSpaceDE w:val="0"/>
              <w:autoSpaceDN w:val="0"/>
              <w:adjustRightInd w:val="0"/>
              <w:spacing w:after="0" w:line="240" w:lineRule="auto"/>
              <w:jc w:val="right"/>
              <w:rPr>
                <w:rFonts w:ascii="Cambria" w:hAnsi="Cambria"/>
                <w:b/>
                <w:color w:val="000000"/>
                <w:sz w:val="20"/>
                <w:szCs w:val="20"/>
              </w:rPr>
            </w:pPr>
          </w:p>
          <w:p w:rsidR="00BC29F8" w:rsidRPr="00EF0AA3" w:rsidRDefault="00BC29F8" w:rsidP="00C72111">
            <w:pPr>
              <w:autoSpaceDE w:val="0"/>
              <w:autoSpaceDN w:val="0"/>
              <w:adjustRightInd w:val="0"/>
              <w:spacing w:after="0" w:line="240" w:lineRule="auto"/>
              <w:jc w:val="right"/>
              <w:rPr>
                <w:rFonts w:ascii="Cambria" w:hAnsi="Cambria"/>
                <w:b/>
                <w:color w:val="000000"/>
                <w:sz w:val="20"/>
                <w:szCs w:val="20"/>
              </w:rPr>
            </w:pPr>
            <w:r w:rsidRPr="00EF0AA3">
              <w:rPr>
                <w:rFonts w:ascii="Cambria" w:hAnsi="Cambria"/>
                <w:b/>
                <w:color w:val="000000"/>
                <w:sz w:val="20"/>
                <w:szCs w:val="20"/>
              </w:rPr>
              <w:t>Date:</w:t>
            </w:r>
          </w:p>
        </w:tc>
        <w:tc>
          <w:tcPr>
            <w:tcW w:w="2430" w:type="dxa"/>
            <w:tcBorders>
              <w:left w:val="nil"/>
              <w:bottom w:val="single" w:sz="4" w:space="0" w:color="auto"/>
              <w:right w:val="nil"/>
            </w:tcBorders>
            <w:shd w:val="clear" w:color="auto" w:fill="F2DBDB"/>
          </w:tcPr>
          <w:p w:rsidR="00BC29F8" w:rsidRPr="00EF0AA3" w:rsidRDefault="00BC29F8" w:rsidP="00C72111">
            <w:pPr>
              <w:autoSpaceDE w:val="0"/>
              <w:autoSpaceDN w:val="0"/>
              <w:adjustRightInd w:val="0"/>
              <w:spacing w:after="0" w:line="240" w:lineRule="auto"/>
              <w:rPr>
                <w:rFonts w:ascii="Cambria" w:hAnsi="Cambria"/>
                <w:color w:val="000000"/>
                <w:sz w:val="20"/>
                <w:szCs w:val="20"/>
              </w:rPr>
            </w:pPr>
          </w:p>
          <w:p w:rsidR="00BC29F8" w:rsidRPr="00EF0AA3" w:rsidRDefault="00BC29F8" w:rsidP="00C72111">
            <w:pPr>
              <w:autoSpaceDE w:val="0"/>
              <w:autoSpaceDN w:val="0"/>
              <w:adjustRightInd w:val="0"/>
              <w:spacing w:after="0" w:line="240" w:lineRule="auto"/>
              <w:rPr>
                <w:rFonts w:ascii="Cambria" w:hAnsi="Cambria"/>
                <w:color w:val="000000"/>
                <w:sz w:val="20"/>
                <w:szCs w:val="20"/>
              </w:rPr>
            </w:pPr>
          </w:p>
        </w:tc>
      </w:tr>
    </w:tbl>
    <w:p w:rsidR="00BC29F8" w:rsidRDefault="00BC29F8" w:rsidP="00BC29F8">
      <w:pPr>
        <w:autoSpaceDE w:val="0"/>
        <w:autoSpaceDN w:val="0"/>
        <w:adjustRightInd w:val="0"/>
        <w:spacing w:after="0" w:line="240" w:lineRule="auto"/>
        <w:rPr>
          <w:rFonts w:ascii="Cambria" w:hAnsi="Cambria"/>
          <w:color w:val="000000"/>
          <w:sz w:val="24"/>
          <w:szCs w:val="24"/>
        </w:rPr>
      </w:pPr>
    </w:p>
    <w:tbl>
      <w:tblPr>
        <w:tblW w:w="111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1303"/>
        <w:gridCol w:w="1324"/>
        <w:gridCol w:w="1854"/>
        <w:gridCol w:w="1439"/>
      </w:tblGrid>
      <w:tr w:rsidR="00BC29F8" w:rsidRPr="00EF0AA3" w:rsidTr="00C72111">
        <w:tc>
          <w:tcPr>
            <w:tcW w:w="5240" w:type="dxa"/>
            <w:shd w:val="clear" w:color="auto" w:fill="F2DBDB"/>
          </w:tcPr>
          <w:p w:rsidR="00BC29F8" w:rsidRPr="00EF0AA3" w:rsidRDefault="00BC29F8" w:rsidP="00C72111">
            <w:pPr>
              <w:spacing w:after="0" w:line="240" w:lineRule="auto"/>
              <w:jc w:val="center"/>
              <w:rPr>
                <w:rFonts w:ascii="Garamond" w:hAnsi="Garamond"/>
                <w:b/>
                <w:sz w:val="18"/>
                <w:szCs w:val="18"/>
              </w:rPr>
            </w:pPr>
            <w:r w:rsidRPr="00EF0AA3">
              <w:rPr>
                <w:rFonts w:ascii="Garamond" w:hAnsi="Garamond"/>
                <w:b/>
                <w:sz w:val="18"/>
                <w:szCs w:val="18"/>
              </w:rPr>
              <w:t>Domain 1: Student Achievement</w:t>
            </w:r>
          </w:p>
          <w:p w:rsidR="00BC29F8" w:rsidRPr="00EF0AA3" w:rsidRDefault="00BC29F8" w:rsidP="00C72111">
            <w:pPr>
              <w:spacing w:after="0" w:line="240" w:lineRule="auto"/>
              <w:jc w:val="center"/>
              <w:rPr>
                <w:rFonts w:ascii="Garamond" w:hAnsi="Garamond"/>
                <w:b/>
                <w:sz w:val="18"/>
                <w:szCs w:val="18"/>
              </w:rPr>
            </w:pPr>
            <w:r w:rsidRPr="00EF0AA3">
              <w:rPr>
                <w:rFonts w:ascii="Garamond" w:hAnsi="Garamond"/>
                <w:b/>
                <w:sz w:val="18"/>
                <w:szCs w:val="18"/>
              </w:rPr>
              <w:t>2 Proficiency Areas - 8 Indicators</w:t>
            </w:r>
          </w:p>
          <w:p w:rsidR="00BC29F8" w:rsidRPr="00EF0AA3" w:rsidRDefault="00BC29F8" w:rsidP="00C72111">
            <w:pPr>
              <w:autoSpaceDE w:val="0"/>
              <w:autoSpaceDN w:val="0"/>
              <w:adjustRightInd w:val="0"/>
              <w:spacing w:after="0" w:line="240" w:lineRule="auto"/>
              <w:jc w:val="center"/>
              <w:rPr>
                <w:rFonts w:ascii="Garamond" w:hAnsi="Garamond"/>
                <w:color w:val="000000"/>
                <w:sz w:val="18"/>
                <w:szCs w:val="18"/>
              </w:rPr>
            </w:pPr>
            <w:r w:rsidRPr="00EF0AA3">
              <w:rPr>
                <w:rFonts w:ascii="Garamond" w:hAnsi="Garamond"/>
                <w:color w:val="000000"/>
                <w:sz w:val="18"/>
                <w:szCs w:val="18"/>
              </w:rPr>
              <w:t>20% Contribution</w:t>
            </w:r>
          </w:p>
        </w:tc>
        <w:tc>
          <w:tcPr>
            <w:tcW w:w="1303" w:type="dxa"/>
            <w:shd w:val="clear" w:color="auto" w:fill="F2DBDB"/>
          </w:tcPr>
          <w:p w:rsidR="00BC29F8" w:rsidRDefault="00BC29F8" w:rsidP="00C72111">
            <w:pPr>
              <w:autoSpaceDE w:val="0"/>
              <w:autoSpaceDN w:val="0"/>
              <w:adjustRightInd w:val="0"/>
              <w:spacing w:after="0" w:line="240" w:lineRule="auto"/>
              <w:jc w:val="center"/>
              <w:rPr>
                <w:rFonts w:ascii="Garamond" w:hAnsi="Garamond"/>
                <w:b/>
                <w:color w:val="000000"/>
                <w:sz w:val="20"/>
                <w:szCs w:val="20"/>
              </w:rPr>
            </w:pPr>
            <w:r w:rsidRPr="00EF0AA3">
              <w:rPr>
                <w:rFonts w:ascii="Garamond" w:hAnsi="Garamond"/>
                <w:b/>
                <w:color w:val="000000"/>
                <w:sz w:val="20"/>
                <w:szCs w:val="20"/>
              </w:rPr>
              <w:t>Highly</w:t>
            </w:r>
          </w:p>
          <w:p w:rsidR="00BC29F8" w:rsidRPr="00EF0AA3" w:rsidRDefault="00BC29F8" w:rsidP="00C72111">
            <w:pPr>
              <w:autoSpaceDE w:val="0"/>
              <w:autoSpaceDN w:val="0"/>
              <w:adjustRightInd w:val="0"/>
              <w:spacing w:after="0" w:line="240" w:lineRule="auto"/>
              <w:jc w:val="center"/>
              <w:rPr>
                <w:rFonts w:ascii="Garamond" w:hAnsi="Garamond"/>
                <w:b/>
                <w:color w:val="000000"/>
                <w:sz w:val="20"/>
                <w:szCs w:val="20"/>
              </w:rPr>
            </w:pPr>
            <w:r>
              <w:rPr>
                <w:rFonts w:ascii="Garamond" w:hAnsi="Garamond"/>
                <w:b/>
                <w:color w:val="000000"/>
                <w:sz w:val="20"/>
                <w:szCs w:val="20"/>
              </w:rPr>
              <w:t>Effective</w:t>
            </w:r>
          </w:p>
        </w:tc>
        <w:tc>
          <w:tcPr>
            <w:tcW w:w="1324" w:type="dxa"/>
            <w:shd w:val="clear" w:color="auto" w:fill="F2DBDB"/>
          </w:tcPr>
          <w:p w:rsidR="00BC29F8" w:rsidRPr="00EF0AA3" w:rsidRDefault="00BC29F8" w:rsidP="00C72111">
            <w:pPr>
              <w:autoSpaceDE w:val="0"/>
              <w:autoSpaceDN w:val="0"/>
              <w:adjustRightInd w:val="0"/>
              <w:spacing w:after="0" w:line="240" w:lineRule="auto"/>
              <w:jc w:val="center"/>
              <w:rPr>
                <w:rFonts w:ascii="Garamond" w:hAnsi="Garamond"/>
                <w:b/>
                <w:color w:val="000000"/>
                <w:sz w:val="20"/>
                <w:szCs w:val="20"/>
              </w:rPr>
            </w:pPr>
            <w:r w:rsidRPr="00EF0AA3">
              <w:rPr>
                <w:rFonts w:ascii="Garamond" w:hAnsi="Garamond"/>
                <w:b/>
                <w:color w:val="000000"/>
                <w:sz w:val="20"/>
                <w:szCs w:val="20"/>
              </w:rPr>
              <w:t>Effective</w:t>
            </w:r>
          </w:p>
        </w:tc>
        <w:tc>
          <w:tcPr>
            <w:tcW w:w="1854" w:type="dxa"/>
            <w:shd w:val="clear" w:color="auto" w:fill="F2DBDB"/>
          </w:tcPr>
          <w:p w:rsidR="00BC29F8" w:rsidRPr="00EF0AA3" w:rsidRDefault="00BC29F8" w:rsidP="00C72111">
            <w:pPr>
              <w:autoSpaceDE w:val="0"/>
              <w:autoSpaceDN w:val="0"/>
              <w:adjustRightInd w:val="0"/>
              <w:spacing w:after="0" w:line="240" w:lineRule="auto"/>
              <w:jc w:val="center"/>
              <w:rPr>
                <w:rFonts w:ascii="Garamond" w:hAnsi="Garamond"/>
                <w:b/>
                <w:color w:val="000000"/>
                <w:sz w:val="20"/>
                <w:szCs w:val="20"/>
              </w:rPr>
            </w:pPr>
            <w:r w:rsidRPr="00EF0AA3">
              <w:rPr>
                <w:rFonts w:ascii="Garamond" w:hAnsi="Garamond"/>
                <w:b/>
                <w:color w:val="000000"/>
                <w:sz w:val="20"/>
                <w:szCs w:val="20"/>
              </w:rPr>
              <w:t>Developing/Needs Improvement</w:t>
            </w:r>
          </w:p>
        </w:tc>
        <w:tc>
          <w:tcPr>
            <w:tcW w:w="1439" w:type="dxa"/>
            <w:shd w:val="clear" w:color="auto" w:fill="F2DBDB"/>
          </w:tcPr>
          <w:p w:rsidR="00BC29F8" w:rsidRPr="00EF0AA3" w:rsidRDefault="00BC29F8" w:rsidP="00C72111">
            <w:pPr>
              <w:autoSpaceDE w:val="0"/>
              <w:autoSpaceDN w:val="0"/>
              <w:adjustRightInd w:val="0"/>
              <w:spacing w:after="0" w:line="240" w:lineRule="auto"/>
              <w:jc w:val="center"/>
              <w:rPr>
                <w:rFonts w:ascii="Garamond" w:hAnsi="Garamond"/>
                <w:b/>
                <w:color w:val="000000"/>
                <w:sz w:val="20"/>
                <w:szCs w:val="20"/>
              </w:rPr>
            </w:pPr>
            <w:r w:rsidRPr="00EF0AA3">
              <w:rPr>
                <w:rFonts w:ascii="Garamond" w:hAnsi="Garamond"/>
                <w:b/>
                <w:color w:val="000000"/>
                <w:sz w:val="20"/>
                <w:szCs w:val="20"/>
              </w:rPr>
              <w:t>Unsatisfactory</w:t>
            </w:r>
          </w:p>
        </w:tc>
      </w:tr>
      <w:tr w:rsidR="00BC29F8" w:rsidRPr="00EF0AA3" w:rsidTr="00C72111">
        <w:tc>
          <w:tcPr>
            <w:tcW w:w="5240" w:type="dxa"/>
          </w:tcPr>
          <w:p w:rsidR="00BC29F8" w:rsidRPr="00EF0AA3" w:rsidRDefault="00BC29F8" w:rsidP="00C72111">
            <w:pPr>
              <w:autoSpaceDE w:val="0"/>
              <w:autoSpaceDN w:val="0"/>
              <w:adjustRightInd w:val="0"/>
              <w:spacing w:after="0" w:line="240" w:lineRule="auto"/>
              <w:rPr>
                <w:rFonts w:ascii="Garamond" w:hAnsi="Garamond"/>
                <w:color w:val="000000"/>
                <w:sz w:val="18"/>
                <w:szCs w:val="18"/>
              </w:rPr>
            </w:pPr>
            <w:r w:rsidRPr="00EF0AA3">
              <w:rPr>
                <w:rFonts w:ascii="Garamond" w:hAnsi="Garamond"/>
                <w:b/>
                <w:sz w:val="18"/>
                <w:szCs w:val="18"/>
              </w:rPr>
              <w:t>Proficiency Area 1 – Student Growth/Achievement</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1.1 – Conduct curriculum, program, or service area responsibilities in a manner which ensures that student growth and achievement is continuous and appropriate for age group, subject area and/or student program classification.</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1.2 – Coach teachers to facilitate changes in instructional practices, behaviors, attitudes, and expectations to strongly impact student achievement.</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b/>
                <w:sz w:val="18"/>
                <w:szCs w:val="18"/>
              </w:rPr>
            </w:pPr>
          </w:p>
          <w:p w:rsidR="00BC29F8" w:rsidRPr="00EF0AA3" w:rsidRDefault="00BC29F8" w:rsidP="00C72111">
            <w:pPr>
              <w:spacing w:after="0" w:line="240" w:lineRule="auto"/>
              <w:rPr>
                <w:rFonts w:ascii="Garamond" w:hAnsi="Garamond"/>
                <w:b/>
                <w:sz w:val="18"/>
                <w:szCs w:val="18"/>
              </w:rPr>
            </w:pPr>
            <w:r w:rsidRPr="00EF0AA3">
              <w:rPr>
                <w:rFonts w:ascii="Garamond" w:hAnsi="Garamond"/>
                <w:b/>
                <w:sz w:val="18"/>
                <w:szCs w:val="18"/>
              </w:rPr>
              <w:t>Proficiency Area 2 – Assessment / Evaluation</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2.1 – Develop and assist teachers in using assessment strategies to support the continuous development of learners.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2.2 – Interpret and use data (including but not limited to standardized and other test results) for planning, decision-making, and program evaluation.</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2.3 – Assist school personnel in the collection, analysis and use of data for assessment, evaluation, and decision-making.</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2.4 – Evaluate assigned area of responsibility, program, or services using established criteria.</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2.5 – Communicate, in understandable terms, program evaluation results knowledgeably and responsibly to professional colleagues and others who need access to the information.</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2.6 – Solicit evaluation of curriculum, program, or service area from teachers, principals, and other appropriate stakeholders.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2.7 – Use evaluation results to improve programs or services.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shd w:val="clear" w:color="auto" w:fill="F2DBDB"/>
          </w:tcPr>
          <w:p w:rsidR="00BC29F8" w:rsidRPr="00EF0AA3" w:rsidRDefault="00BC29F8" w:rsidP="00C72111">
            <w:pPr>
              <w:spacing w:after="0" w:line="240" w:lineRule="auto"/>
              <w:jc w:val="center"/>
              <w:rPr>
                <w:rFonts w:ascii="Garamond" w:hAnsi="Garamond"/>
                <w:b/>
                <w:sz w:val="18"/>
                <w:szCs w:val="18"/>
              </w:rPr>
            </w:pPr>
            <w:r w:rsidRPr="00EF0AA3">
              <w:rPr>
                <w:rFonts w:ascii="Garamond" w:hAnsi="Garamond"/>
                <w:b/>
                <w:sz w:val="18"/>
                <w:szCs w:val="18"/>
              </w:rPr>
              <w:t>Domain 2: Instructional Support</w:t>
            </w:r>
          </w:p>
          <w:p w:rsidR="00BC29F8" w:rsidRPr="00EF0AA3" w:rsidRDefault="00BC29F8" w:rsidP="00C72111">
            <w:pPr>
              <w:spacing w:after="0" w:line="240" w:lineRule="auto"/>
              <w:jc w:val="center"/>
              <w:rPr>
                <w:rFonts w:ascii="Garamond" w:hAnsi="Garamond"/>
                <w:b/>
                <w:sz w:val="18"/>
                <w:szCs w:val="18"/>
              </w:rPr>
            </w:pPr>
            <w:r w:rsidRPr="00EF0AA3">
              <w:rPr>
                <w:rFonts w:ascii="Garamond" w:hAnsi="Garamond"/>
                <w:b/>
                <w:sz w:val="18"/>
                <w:szCs w:val="18"/>
              </w:rPr>
              <w:t>4 Proficiency Areas - 33 Indicators</w:t>
            </w:r>
          </w:p>
          <w:p w:rsidR="00BC29F8" w:rsidRPr="00EF0AA3" w:rsidRDefault="00BC29F8" w:rsidP="00C72111">
            <w:pPr>
              <w:autoSpaceDE w:val="0"/>
              <w:autoSpaceDN w:val="0"/>
              <w:adjustRightInd w:val="0"/>
              <w:spacing w:after="0" w:line="240" w:lineRule="auto"/>
              <w:jc w:val="center"/>
              <w:rPr>
                <w:rFonts w:ascii="Garamond" w:hAnsi="Garamond"/>
                <w:color w:val="000000"/>
                <w:sz w:val="18"/>
                <w:szCs w:val="18"/>
              </w:rPr>
            </w:pPr>
            <w:r w:rsidRPr="00EF0AA3">
              <w:rPr>
                <w:rFonts w:ascii="Garamond" w:hAnsi="Garamond"/>
                <w:color w:val="000000"/>
                <w:sz w:val="18"/>
                <w:szCs w:val="18"/>
              </w:rPr>
              <w:t>40% Contribution</w:t>
            </w:r>
          </w:p>
        </w:tc>
        <w:tc>
          <w:tcPr>
            <w:tcW w:w="1303" w:type="dxa"/>
            <w:shd w:val="clear" w:color="auto" w:fill="F2DBDB"/>
          </w:tcPr>
          <w:p w:rsidR="00BC29F8" w:rsidRDefault="00BC29F8" w:rsidP="00C72111">
            <w:pPr>
              <w:autoSpaceDE w:val="0"/>
              <w:autoSpaceDN w:val="0"/>
              <w:adjustRightInd w:val="0"/>
              <w:spacing w:after="0" w:line="240" w:lineRule="auto"/>
              <w:jc w:val="center"/>
              <w:rPr>
                <w:rFonts w:ascii="Garamond" w:hAnsi="Garamond"/>
                <w:b/>
                <w:color w:val="000000"/>
                <w:sz w:val="20"/>
                <w:szCs w:val="20"/>
              </w:rPr>
            </w:pPr>
            <w:r w:rsidRPr="00EF0AA3">
              <w:rPr>
                <w:rFonts w:ascii="Garamond" w:hAnsi="Garamond"/>
                <w:b/>
                <w:color w:val="000000"/>
                <w:sz w:val="20"/>
                <w:szCs w:val="20"/>
              </w:rPr>
              <w:t>Highly</w:t>
            </w:r>
          </w:p>
          <w:p w:rsidR="00BC29F8" w:rsidRPr="00EF0AA3" w:rsidRDefault="00BC29F8" w:rsidP="00C72111">
            <w:pPr>
              <w:autoSpaceDE w:val="0"/>
              <w:autoSpaceDN w:val="0"/>
              <w:adjustRightInd w:val="0"/>
              <w:spacing w:after="0" w:line="240" w:lineRule="auto"/>
              <w:jc w:val="center"/>
              <w:rPr>
                <w:rFonts w:ascii="Garamond" w:hAnsi="Garamond"/>
                <w:b/>
                <w:color w:val="000000"/>
                <w:sz w:val="20"/>
                <w:szCs w:val="20"/>
              </w:rPr>
            </w:pPr>
            <w:r>
              <w:rPr>
                <w:rFonts w:ascii="Garamond" w:hAnsi="Garamond"/>
                <w:b/>
                <w:color w:val="000000"/>
                <w:sz w:val="20"/>
                <w:szCs w:val="20"/>
              </w:rPr>
              <w:t>Effective</w:t>
            </w:r>
          </w:p>
        </w:tc>
        <w:tc>
          <w:tcPr>
            <w:tcW w:w="1324" w:type="dxa"/>
            <w:shd w:val="clear" w:color="auto" w:fill="F2DBDB"/>
          </w:tcPr>
          <w:p w:rsidR="00BC29F8" w:rsidRPr="00EF0AA3" w:rsidRDefault="00BC29F8" w:rsidP="00C72111">
            <w:pPr>
              <w:autoSpaceDE w:val="0"/>
              <w:autoSpaceDN w:val="0"/>
              <w:adjustRightInd w:val="0"/>
              <w:spacing w:after="0" w:line="240" w:lineRule="auto"/>
              <w:jc w:val="center"/>
              <w:rPr>
                <w:rFonts w:ascii="Garamond" w:hAnsi="Garamond"/>
                <w:b/>
                <w:color w:val="000000"/>
                <w:sz w:val="20"/>
                <w:szCs w:val="20"/>
              </w:rPr>
            </w:pPr>
            <w:r w:rsidRPr="00EF0AA3">
              <w:rPr>
                <w:rFonts w:ascii="Garamond" w:hAnsi="Garamond"/>
                <w:b/>
                <w:color w:val="000000"/>
                <w:sz w:val="20"/>
                <w:szCs w:val="20"/>
              </w:rPr>
              <w:t>Effective</w:t>
            </w:r>
          </w:p>
        </w:tc>
        <w:tc>
          <w:tcPr>
            <w:tcW w:w="1854" w:type="dxa"/>
            <w:shd w:val="clear" w:color="auto" w:fill="F2DBDB"/>
          </w:tcPr>
          <w:p w:rsidR="00BC29F8" w:rsidRPr="00EF0AA3" w:rsidRDefault="00BC29F8" w:rsidP="00C72111">
            <w:pPr>
              <w:autoSpaceDE w:val="0"/>
              <w:autoSpaceDN w:val="0"/>
              <w:adjustRightInd w:val="0"/>
              <w:spacing w:after="0" w:line="240" w:lineRule="auto"/>
              <w:jc w:val="center"/>
              <w:rPr>
                <w:rFonts w:ascii="Garamond" w:hAnsi="Garamond"/>
                <w:b/>
                <w:color w:val="000000"/>
                <w:sz w:val="20"/>
                <w:szCs w:val="20"/>
              </w:rPr>
            </w:pPr>
            <w:r w:rsidRPr="00EF0AA3">
              <w:rPr>
                <w:rFonts w:ascii="Garamond" w:hAnsi="Garamond"/>
                <w:b/>
                <w:color w:val="000000"/>
                <w:sz w:val="20"/>
                <w:szCs w:val="20"/>
              </w:rPr>
              <w:t>Developing/Needs Improvement</w:t>
            </w:r>
          </w:p>
        </w:tc>
        <w:tc>
          <w:tcPr>
            <w:tcW w:w="1439" w:type="dxa"/>
            <w:shd w:val="clear" w:color="auto" w:fill="F2DBDB"/>
          </w:tcPr>
          <w:p w:rsidR="00BC29F8" w:rsidRPr="00EF0AA3" w:rsidRDefault="00BC29F8" w:rsidP="00C72111">
            <w:pPr>
              <w:autoSpaceDE w:val="0"/>
              <w:autoSpaceDN w:val="0"/>
              <w:adjustRightInd w:val="0"/>
              <w:spacing w:after="0" w:line="240" w:lineRule="auto"/>
              <w:jc w:val="center"/>
              <w:rPr>
                <w:rFonts w:ascii="Garamond" w:hAnsi="Garamond"/>
                <w:b/>
                <w:color w:val="000000"/>
                <w:sz w:val="20"/>
                <w:szCs w:val="20"/>
              </w:rPr>
            </w:pPr>
            <w:r w:rsidRPr="00EF0AA3">
              <w:rPr>
                <w:rFonts w:ascii="Garamond" w:hAnsi="Garamond"/>
                <w:b/>
                <w:color w:val="000000"/>
                <w:sz w:val="20"/>
                <w:szCs w:val="20"/>
              </w:rPr>
              <w:t>Unsatisfactory</w:t>
            </w:r>
          </w:p>
        </w:tc>
      </w:tr>
      <w:tr w:rsidR="00BC29F8" w:rsidRPr="00EF0AA3" w:rsidTr="00C72111">
        <w:tc>
          <w:tcPr>
            <w:tcW w:w="5240" w:type="dxa"/>
          </w:tcPr>
          <w:p w:rsidR="00BC29F8" w:rsidRPr="00EF0AA3" w:rsidRDefault="00BC29F8" w:rsidP="00C72111">
            <w:pPr>
              <w:spacing w:after="0" w:line="240" w:lineRule="auto"/>
              <w:jc w:val="both"/>
              <w:rPr>
                <w:rFonts w:ascii="Garamond" w:hAnsi="Garamond"/>
                <w:b/>
                <w:sz w:val="18"/>
                <w:szCs w:val="18"/>
              </w:rPr>
            </w:pPr>
          </w:p>
          <w:p w:rsidR="00BC29F8" w:rsidRPr="00EF0AA3" w:rsidRDefault="00BC29F8" w:rsidP="00C72111">
            <w:pPr>
              <w:spacing w:after="0" w:line="240" w:lineRule="auto"/>
              <w:jc w:val="both"/>
              <w:rPr>
                <w:rFonts w:ascii="Garamond" w:hAnsi="Garamond"/>
                <w:b/>
                <w:sz w:val="18"/>
                <w:szCs w:val="18"/>
              </w:rPr>
            </w:pPr>
            <w:r w:rsidRPr="00EF0AA3">
              <w:rPr>
                <w:rFonts w:ascii="Garamond" w:hAnsi="Garamond"/>
                <w:b/>
                <w:sz w:val="18"/>
                <w:szCs w:val="18"/>
              </w:rPr>
              <w:t>Proficiency Area 3 – Planning/Preparation</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3.1 – Develop short- and long-range plans based on school, district, and state priorities.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3.2 – Define goals and objectives for the assigned curriculum, program, or service assignment.</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3.3 – Plan with teachers and administrative leaders to develop and implement the school / district program.</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3.4 – Identify specific intended outcomes that are challenging, meaningful, and measurable.</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3.5 - Revise curriculum, program, or service delivery based on assessments.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3.6 – Plan and prepare programs and activities considering students’ culture, learning style, special needs, and socio-economic background.</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3.7 – Serve on school / district committees for the planning and implementation of programs and / or services.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3.8 – Plan and prepare strategies which support school improvement plans and the District mission.</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lastRenderedPageBreak/>
              <w:t>Indicator 3.9 – Select, develop, modify, and / or adapt materials and resources which support learning objectives and address varying learning styles, backgrounds, and special needs.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 xml:space="preserve">Indicator 3.10 – Participate, as requested, in the planning </w:t>
            </w:r>
            <w:r>
              <w:rPr>
                <w:rFonts w:ascii="Garamond" w:hAnsi="Garamond"/>
                <w:sz w:val="18"/>
                <w:szCs w:val="18"/>
              </w:rPr>
              <w:t xml:space="preserve">and use </w:t>
            </w:r>
            <w:r w:rsidRPr="00EF0AA3">
              <w:rPr>
                <w:rFonts w:ascii="Garamond" w:hAnsi="Garamond"/>
                <w:sz w:val="18"/>
                <w:szCs w:val="18"/>
              </w:rPr>
              <w:t>of educational facilities that</w:t>
            </w:r>
            <w:r>
              <w:rPr>
                <w:rFonts w:ascii="Garamond" w:hAnsi="Garamond"/>
                <w:sz w:val="18"/>
                <w:szCs w:val="18"/>
              </w:rPr>
              <w:t xml:space="preserve"> </w:t>
            </w:r>
            <w:r w:rsidRPr="00EF0AA3">
              <w:rPr>
                <w:rFonts w:ascii="Garamond" w:hAnsi="Garamond"/>
                <w:sz w:val="18"/>
                <w:szCs w:val="18"/>
              </w:rPr>
              <w:t>will support the objectives of the District.</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b/>
                <w:sz w:val="18"/>
                <w:szCs w:val="18"/>
              </w:rPr>
            </w:pPr>
          </w:p>
          <w:p w:rsidR="00BC29F8" w:rsidRPr="00EF0AA3" w:rsidRDefault="00BC29F8" w:rsidP="00C72111">
            <w:pPr>
              <w:spacing w:after="0" w:line="240" w:lineRule="auto"/>
              <w:rPr>
                <w:rFonts w:ascii="Garamond" w:hAnsi="Garamond"/>
                <w:b/>
                <w:sz w:val="18"/>
                <w:szCs w:val="18"/>
              </w:rPr>
            </w:pPr>
            <w:r w:rsidRPr="00EF0AA3">
              <w:rPr>
                <w:rFonts w:ascii="Garamond" w:hAnsi="Garamond"/>
                <w:b/>
                <w:sz w:val="18"/>
                <w:szCs w:val="18"/>
              </w:rPr>
              <w:t>Proficiency Area 4 – Administrative / Management</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4.1 – Establish and maintain a positive, organized, and safe environment.</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4.2 – Establish and maintain effective and efficient record keeping procedures.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4.3 – Use technology resources effectively.</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4.4 – Manage time effectively.</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4.5 – Assist teachers in establishing routines and procedures and working with students on consistently following them.</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4.6 – Develop routines and efficient techniques for minimizing time required for administrative and organizational activities.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4.7 – Manage materials and equipment effectively.</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4.8 – Assist in identifying program or service needs and in developing the budget for the assigned area of responsibility.</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b/>
                <w:sz w:val="18"/>
                <w:szCs w:val="18"/>
              </w:rPr>
            </w:pPr>
          </w:p>
          <w:p w:rsidR="00BC29F8" w:rsidRPr="00EF0AA3" w:rsidRDefault="00BC29F8" w:rsidP="00C72111">
            <w:pPr>
              <w:spacing w:after="0" w:line="240" w:lineRule="auto"/>
              <w:rPr>
                <w:rFonts w:ascii="Garamond" w:hAnsi="Garamond"/>
                <w:sz w:val="18"/>
                <w:szCs w:val="18"/>
              </w:rPr>
            </w:pPr>
            <w:r w:rsidRPr="00EF0AA3">
              <w:rPr>
                <w:rFonts w:ascii="Garamond" w:hAnsi="Garamond"/>
                <w:b/>
                <w:sz w:val="18"/>
                <w:szCs w:val="18"/>
              </w:rPr>
              <w:t>Proficiency Area 5 – Intervention / Direct Services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5.1 – Demonstrate knowledge and understanding of assigned curriculum, program or service area.</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5.2 – Provide assistance and coordination in curriculum development, alignment, implementation, and evaluation.</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5.3 – Model principles of learning and effective teaching in instructional delivery.</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5.4 – Assist school administrators and teachers in understanding programs and implications for instructional practice.</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5.5 – Model the use of a variety of instructional strategies appropriate for teaching students from diverse backgrounds with different learning styles and special needs.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5.6 – Disseminate and interpret current trends and research related to curriculum, instruction, technology, and related areas.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5.7 – Use appropriate materials, technology, and resources to help teachers to implement effective instructional strategies.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5.8 – Assist teachers in providing appropriate instruction and modifications for students with special needs, including exceptional education students and students who have limited proficiency in English.</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5.9 – Provide support and assistance to teachers in implementing teaching strategies, identifying appropriate activities, organizing and managing the classroom, selecting materials, and addressing needs of individual students.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5.10 – Facilitate the implementation of programs, activities, and strategies designed to achieve school improvement objectives.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b/>
                <w:sz w:val="18"/>
                <w:szCs w:val="18"/>
              </w:rPr>
            </w:pPr>
          </w:p>
          <w:p w:rsidR="00BC29F8" w:rsidRPr="00EF0AA3" w:rsidRDefault="00BC29F8" w:rsidP="00C72111">
            <w:pPr>
              <w:spacing w:after="0" w:line="240" w:lineRule="auto"/>
              <w:rPr>
                <w:rFonts w:ascii="Garamond" w:hAnsi="Garamond"/>
                <w:b/>
                <w:sz w:val="18"/>
                <w:szCs w:val="18"/>
              </w:rPr>
            </w:pPr>
            <w:r w:rsidRPr="00EF0AA3">
              <w:rPr>
                <w:rFonts w:ascii="Garamond" w:hAnsi="Garamond"/>
                <w:b/>
                <w:sz w:val="18"/>
                <w:szCs w:val="18"/>
              </w:rPr>
              <w:t>Proficiency Area 6 – Staff Development</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6.1 – Plan, implement, and evaluate in-service for teachers, administrators, and other school staff.</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6.2 – Engage in continuing improvement of professional knowledge and skills.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6.3 – Assist others in acquiring knowledge and understanding of particular area of responsibility.</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6.4 - Keep abreast of development in instructional methodology, learning theory, curriculum trends, and content.</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Default="00BC29F8" w:rsidP="00C72111">
            <w:pPr>
              <w:spacing w:after="0" w:line="240" w:lineRule="auto"/>
              <w:rPr>
                <w:rFonts w:ascii="Garamond" w:hAnsi="Garamond"/>
                <w:sz w:val="18"/>
                <w:szCs w:val="18"/>
              </w:rPr>
            </w:pPr>
            <w:r w:rsidRPr="00EF0AA3">
              <w:rPr>
                <w:rFonts w:ascii="Garamond" w:hAnsi="Garamond"/>
                <w:sz w:val="18"/>
                <w:szCs w:val="18"/>
              </w:rPr>
              <w:t>Indicator 6.5 – Conduct a personal assessment periodically to determine professional development needs with reference to specific assignment.</w:t>
            </w:r>
          </w:p>
          <w:p w:rsidR="00BC29F8" w:rsidRDefault="00BC29F8" w:rsidP="00C72111">
            <w:pPr>
              <w:spacing w:after="0" w:line="240" w:lineRule="auto"/>
              <w:rPr>
                <w:rFonts w:ascii="Garamond" w:hAnsi="Garamond"/>
                <w:sz w:val="18"/>
                <w:szCs w:val="18"/>
              </w:rPr>
            </w:pPr>
          </w:p>
          <w:p w:rsidR="00B9459E" w:rsidRDefault="00B9459E" w:rsidP="00C72111">
            <w:pPr>
              <w:spacing w:after="0" w:line="240" w:lineRule="auto"/>
              <w:rPr>
                <w:rFonts w:ascii="Garamond" w:hAnsi="Garamond"/>
                <w:sz w:val="18"/>
                <w:szCs w:val="18"/>
              </w:rPr>
            </w:pPr>
          </w:p>
          <w:p w:rsidR="00B9459E" w:rsidRDefault="00B9459E" w:rsidP="00C72111">
            <w:pPr>
              <w:spacing w:after="0" w:line="240" w:lineRule="auto"/>
              <w:rPr>
                <w:rFonts w:ascii="Garamond" w:hAnsi="Garamond"/>
                <w:sz w:val="18"/>
                <w:szCs w:val="18"/>
              </w:rPr>
            </w:pPr>
          </w:p>
          <w:p w:rsidR="00B9459E" w:rsidRDefault="00B9459E" w:rsidP="00C72111">
            <w:pPr>
              <w:spacing w:after="0" w:line="240" w:lineRule="auto"/>
              <w:rPr>
                <w:rFonts w:ascii="Garamond" w:hAnsi="Garamond"/>
                <w:sz w:val="18"/>
                <w:szCs w:val="18"/>
              </w:rPr>
            </w:pPr>
          </w:p>
          <w:p w:rsidR="00B9459E" w:rsidRPr="00EF0AA3" w:rsidRDefault="00B9459E" w:rsidP="00C72111">
            <w:pPr>
              <w:spacing w:after="0" w:line="240" w:lineRule="auto"/>
              <w:rPr>
                <w:rFonts w:ascii="Garamond" w:hAnsi="Garamond"/>
                <w:sz w:val="18"/>
                <w:szCs w:val="18"/>
              </w:rPr>
            </w:pP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shd w:val="clear" w:color="auto" w:fill="F2DBDB"/>
          </w:tcPr>
          <w:p w:rsidR="00BC29F8" w:rsidRPr="00EF0AA3" w:rsidRDefault="00BC29F8" w:rsidP="00C72111">
            <w:pPr>
              <w:spacing w:after="0" w:line="240" w:lineRule="auto"/>
              <w:jc w:val="center"/>
              <w:rPr>
                <w:rFonts w:ascii="Garamond" w:hAnsi="Garamond"/>
                <w:b/>
                <w:sz w:val="18"/>
                <w:szCs w:val="18"/>
              </w:rPr>
            </w:pPr>
            <w:r w:rsidRPr="00EF0AA3">
              <w:rPr>
                <w:rFonts w:ascii="Garamond" w:hAnsi="Garamond"/>
                <w:b/>
                <w:sz w:val="18"/>
                <w:szCs w:val="18"/>
              </w:rPr>
              <w:t>Domain 3: Organizational Leadership</w:t>
            </w:r>
          </w:p>
          <w:p w:rsidR="00BC29F8" w:rsidRPr="00EF0AA3" w:rsidRDefault="00BC29F8" w:rsidP="00C72111">
            <w:pPr>
              <w:spacing w:after="0" w:line="240" w:lineRule="auto"/>
              <w:jc w:val="center"/>
              <w:rPr>
                <w:rFonts w:ascii="Garamond" w:hAnsi="Garamond"/>
                <w:b/>
                <w:sz w:val="18"/>
                <w:szCs w:val="18"/>
              </w:rPr>
            </w:pPr>
            <w:r w:rsidRPr="00EF0AA3">
              <w:rPr>
                <w:rFonts w:ascii="Garamond" w:hAnsi="Garamond"/>
                <w:b/>
                <w:sz w:val="18"/>
                <w:szCs w:val="18"/>
              </w:rPr>
              <w:t>2 Proficiency Areas - 7 Indicators</w:t>
            </w:r>
          </w:p>
          <w:p w:rsidR="00BC29F8" w:rsidRPr="00EF0AA3" w:rsidRDefault="00BC29F8" w:rsidP="00C72111">
            <w:pPr>
              <w:spacing w:after="0" w:line="240" w:lineRule="auto"/>
              <w:jc w:val="center"/>
              <w:rPr>
                <w:rFonts w:ascii="Garamond" w:hAnsi="Garamond"/>
                <w:sz w:val="18"/>
                <w:szCs w:val="18"/>
              </w:rPr>
            </w:pPr>
            <w:r w:rsidRPr="00EF0AA3">
              <w:rPr>
                <w:rFonts w:ascii="Garamond" w:hAnsi="Garamond"/>
                <w:b/>
                <w:sz w:val="18"/>
                <w:szCs w:val="18"/>
              </w:rPr>
              <w:t>20% Contribution</w:t>
            </w:r>
          </w:p>
        </w:tc>
        <w:tc>
          <w:tcPr>
            <w:tcW w:w="1303" w:type="dxa"/>
            <w:shd w:val="clear" w:color="auto" w:fill="F2DBDB"/>
          </w:tcPr>
          <w:p w:rsidR="00BC29F8" w:rsidRDefault="00BC29F8" w:rsidP="00C72111">
            <w:pPr>
              <w:autoSpaceDE w:val="0"/>
              <w:autoSpaceDN w:val="0"/>
              <w:adjustRightInd w:val="0"/>
              <w:spacing w:after="0" w:line="240" w:lineRule="auto"/>
              <w:jc w:val="center"/>
              <w:rPr>
                <w:rFonts w:ascii="Garamond" w:hAnsi="Garamond"/>
                <w:b/>
                <w:color w:val="000000"/>
                <w:sz w:val="20"/>
                <w:szCs w:val="20"/>
              </w:rPr>
            </w:pPr>
            <w:r w:rsidRPr="00EF0AA3">
              <w:rPr>
                <w:rFonts w:ascii="Garamond" w:hAnsi="Garamond"/>
                <w:b/>
                <w:color w:val="000000"/>
                <w:sz w:val="20"/>
                <w:szCs w:val="20"/>
              </w:rPr>
              <w:t>Highly</w:t>
            </w:r>
          </w:p>
          <w:p w:rsidR="00BC29F8" w:rsidRPr="00EF0AA3" w:rsidRDefault="00BC29F8" w:rsidP="00C72111">
            <w:pPr>
              <w:autoSpaceDE w:val="0"/>
              <w:autoSpaceDN w:val="0"/>
              <w:adjustRightInd w:val="0"/>
              <w:spacing w:after="0" w:line="240" w:lineRule="auto"/>
              <w:jc w:val="center"/>
              <w:rPr>
                <w:rFonts w:ascii="Garamond" w:hAnsi="Garamond"/>
                <w:b/>
                <w:color w:val="000000"/>
                <w:sz w:val="20"/>
                <w:szCs w:val="20"/>
              </w:rPr>
            </w:pPr>
            <w:r>
              <w:rPr>
                <w:rFonts w:ascii="Garamond" w:hAnsi="Garamond"/>
                <w:b/>
                <w:color w:val="000000"/>
                <w:sz w:val="20"/>
                <w:szCs w:val="20"/>
              </w:rPr>
              <w:t>Effective</w:t>
            </w:r>
          </w:p>
        </w:tc>
        <w:tc>
          <w:tcPr>
            <w:tcW w:w="1324" w:type="dxa"/>
            <w:shd w:val="clear" w:color="auto" w:fill="F2DBDB"/>
          </w:tcPr>
          <w:p w:rsidR="00BC29F8" w:rsidRPr="00EF0AA3" w:rsidRDefault="00BC29F8" w:rsidP="00C72111">
            <w:pPr>
              <w:autoSpaceDE w:val="0"/>
              <w:autoSpaceDN w:val="0"/>
              <w:adjustRightInd w:val="0"/>
              <w:spacing w:after="0" w:line="240" w:lineRule="auto"/>
              <w:jc w:val="center"/>
              <w:rPr>
                <w:rFonts w:ascii="Garamond" w:hAnsi="Garamond"/>
                <w:b/>
                <w:color w:val="000000"/>
                <w:sz w:val="20"/>
                <w:szCs w:val="20"/>
              </w:rPr>
            </w:pPr>
            <w:r w:rsidRPr="00EF0AA3">
              <w:rPr>
                <w:rFonts w:ascii="Garamond" w:hAnsi="Garamond"/>
                <w:b/>
                <w:color w:val="000000"/>
                <w:sz w:val="20"/>
                <w:szCs w:val="20"/>
              </w:rPr>
              <w:t>Effective</w:t>
            </w:r>
          </w:p>
        </w:tc>
        <w:tc>
          <w:tcPr>
            <w:tcW w:w="1854" w:type="dxa"/>
            <w:shd w:val="clear" w:color="auto" w:fill="F2DBDB"/>
          </w:tcPr>
          <w:p w:rsidR="00BC29F8" w:rsidRPr="00EF0AA3" w:rsidRDefault="00BC29F8" w:rsidP="00C72111">
            <w:pPr>
              <w:autoSpaceDE w:val="0"/>
              <w:autoSpaceDN w:val="0"/>
              <w:adjustRightInd w:val="0"/>
              <w:spacing w:after="0" w:line="240" w:lineRule="auto"/>
              <w:jc w:val="center"/>
              <w:rPr>
                <w:rFonts w:ascii="Garamond" w:hAnsi="Garamond"/>
                <w:b/>
                <w:color w:val="000000"/>
                <w:sz w:val="20"/>
                <w:szCs w:val="20"/>
              </w:rPr>
            </w:pPr>
            <w:r w:rsidRPr="00EF0AA3">
              <w:rPr>
                <w:rFonts w:ascii="Garamond" w:hAnsi="Garamond"/>
                <w:b/>
                <w:color w:val="000000"/>
                <w:sz w:val="20"/>
                <w:szCs w:val="20"/>
              </w:rPr>
              <w:t>Developing/Needs Improvement</w:t>
            </w:r>
          </w:p>
        </w:tc>
        <w:tc>
          <w:tcPr>
            <w:tcW w:w="1439" w:type="dxa"/>
            <w:shd w:val="clear" w:color="auto" w:fill="F2DBDB"/>
          </w:tcPr>
          <w:p w:rsidR="00BC29F8" w:rsidRPr="00EF0AA3" w:rsidRDefault="00BC29F8" w:rsidP="00C72111">
            <w:pPr>
              <w:autoSpaceDE w:val="0"/>
              <w:autoSpaceDN w:val="0"/>
              <w:adjustRightInd w:val="0"/>
              <w:spacing w:after="0" w:line="240" w:lineRule="auto"/>
              <w:jc w:val="center"/>
              <w:rPr>
                <w:rFonts w:ascii="Garamond" w:hAnsi="Garamond"/>
                <w:b/>
                <w:color w:val="000000"/>
                <w:sz w:val="20"/>
                <w:szCs w:val="20"/>
              </w:rPr>
            </w:pPr>
            <w:r w:rsidRPr="00EF0AA3">
              <w:rPr>
                <w:rFonts w:ascii="Garamond" w:hAnsi="Garamond"/>
                <w:b/>
                <w:color w:val="000000"/>
                <w:sz w:val="20"/>
                <w:szCs w:val="20"/>
              </w:rPr>
              <w:t>Unsatisfactory</w:t>
            </w:r>
          </w:p>
        </w:tc>
      </w:tr>
      <w:tr w:rsidR="00BC29F8" w:rsidRPr="00EF0AA3" w:rsidTr="00C72111">
        <w:tc>
          <w:tcPr>
            <w:tcW w:w="5240" w:type="dxa"/>
          </w:tcPr>
          <w:p w:rsidR="00BC29F8" w:rsidRPr="00EF0AA3" w:rsidRDefault="00BC29F8" w:rsidP="00C72111">
            <w:pPr>
              <w:spacing w:after="0" w:line="240" w:lineRule="auto"/>
              <w:rPr>
                <w:rFonts w:ascii="Garamond" w:hAnsi="Garamond"/>
                <w:b/>
                <w:sz w:val="18"/>
                <w:szCs w:val="18"/>
              </w:rPr>
            </w:pPr>
          </w:p>
          <w:p w:rsidR="00BC29F8" w:rsidRPr="00EF0AA3" w:rsidRDefault="00BC29F8" w:rsidP="00C72111">
            <w:pPr>
              <w:spacing w:after="0" w:line="240" w:lineRule="auto"/>
              <w:rPr>
                <w:rFonts w:ascii="Garamond" w:hAnsi="Garamond"/>
                <w:b/>
                <w:sz w:val="18"/>
                <w:szCs w:val="18"/>
              </w:rPr>
            </w:pPr>
            <w:r w:rsidRPr="00EF0AA3">
              <w:rPr>
                <w:rFonts w:ascii="Garamond" w:hAnsi="Garamond"/>
                <w:b/>
                <w:sz w:val="18"/>
                <w:szCs w:val="18"/>
              </w:rPr>
              <w:t>Proficiency Area 7 – Collaboration</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7.1 – Communicate effectively, orally and in writing, with other professionals, students, parents, and community.</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7.2 – Interact with parents, community agencies, and business to support school and District priorities.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7.3 – Provide accurate and timely information to teachers, administrators, and community.</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7.4 – Work with teachers and other professional educators in curriculum development, special activities, and sharing ideas and resources.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p>
          <w:p w:rsidR="00BC29F8" w:rsidRPr="00EF0AA3" w:rsidRDefault="00BC29F8" w:rsidP="00C72111">
            <w:pPr>
              <w:spacing w:after="0" w:line="240" w:lineRule="auto"/>
              <w:rPr>
                <w:rFonts w:ascii="Garamond" w:hAnsi="Garamond"/>
                <w:b/>
                <w:sz w:val="18"/>
                <w:szCs w:val="18"/>
              </w:rPr>
            </w:pPr>
            <w:r w:rsidRPr="00EF0AA3">
              <w:rPr>
                <w:rFonts w:ascii="Garamond" w:hAnsi="Garamond"/>
                <w:b/>
                <w:sz w:val="18"/>
                <w:szCs w:val="18"/>
              </w:rPr>
              <w:t>Proficiency Area 8 – Decision Making</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8.1 – Gives priority attention to decisions that impact the quality of student learning and teacher proficiency, gathering and analyzing facts and data, and assessing alignment of decisions with vision, mission, and improvement priorities.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8.2 – Uses critical thinking and problem solving techniques to define problems and identify solutions.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 xml:space="preserve">Indicator 8.3 – Employs effective technology integration to enhance </w:t>
            </w:r>
            <w:r>
              <w:rPr>
                <w:rFonts w:ascii="Garamond" w:hAnsi="Garamond"/>
                <w:sz w:val="18"/>
                <w:szCs w:val="18"/>
              </w:rPr>
              <w:t xml:space="preserve">decision making </w:t>
            </w:r>
            <w:r w:rsidRPr="00EF0AA3">
              <w:rPr>
                <w:rFonts w:ascii="Garamond" w:hAnsi="Garamond"/>
                <w:sz w:val="18"/>
                <w:szCs w:val="18"/>
              </w:rPr>
              <w:t>and efficiency throughout the school. The leader processes changes and captures opportunities available through social networking tools, accesses and processes information through a variety of online resources, incorporating data-driven decision making with effective technology integration to analyze school results, and develops strategies for coaching staff as they integrate technology into teaching, learning, and assessment processes.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shd w:val="clear" w:color="auto" w:fill="F2DBDB"/>
          </w:tcPr>
          <w:p w:rsidR="00BC29F8" w:rsidRPr="00EF0AA3" w:rsidRDefault="00BC29F8" w:rsidP="00C72111">
            <w:pPr>
              <w:spacing w:after="0" w:line="240" w:lineRule="auto"/>
              <w:jc w:val="center"/>
              <w:rPr>
                <w:rFonts w:ascii="Garamond" w:hAnsi="Garamond"/>
                <w:b/>
                <w:sz w:val="18"/>
                <w:szCs w:val="18"/>
              </w:rPr>
            </w:pPr>
            <w:r w:rsidRPr="00EF0AA3">
              <w:rPr>
                <w:rFonts w:ascii="Garamond" w:hAnsi="Garamond"/>
                <w:b/>
                <w:sz w:val="18"/>
                <w:szCs w:val="18"/>
              </w:rPr>
              <w:t>Domain 4: Professional and Ethical Behaviors</w:t>
            </w:r>
          </w:p>
          <w:p w:rsidR="00BC29F8" w:rsidRPr="00EF0AA3" w:rsidRDefault="00BC29F8" w:rsidP="00C72111">
            <w:pPr>
              <w:spacing w:after="0" w:line="240" w:lineRule="auto"/>
              <w:jc w:val="center"/>
              <w:rPr>
                <w:rFonts w:ascii="Garamond" w:hAnsi="Garamond"/>
                <w:b/>
                <w:sz w:val="18"/>
                <w:szCs w:val="18"/>
              </w:rPr>
            </w:pPr>
            <w:r w:rsidRPr="00EF0AA3">
              <w:rPr>
                <w:rFonts w:ascii="Garamond" w:hAnsi="Garamond"/>
                <w:b/>
                <w:sz w:val="18"/>
                <w:szCs w:val="18"/>
              </w:rPr>
              <w:t>2  Proficiency Area – 12 Indicators</w:t>
            </w:r>
          </w:p>
          <w:p w:rsidR="00BC29F8" w:rsidRPr="00EF0AA3" w:rsidRDefault="00BC29F8" w:rsidP="00C72111">
            <w:pPr>
              <w:spacing w:after="0" w:line="240" w:lineRule="auto"/>
              <w:jc w:val="center"/>
              <w:rPr>
                <w:rFonts w:ascii="Garamond" w:hAnsi="Garamond"/>
                <w:sz w:val="18"/>
                <w:szCs w:val="18"/>
              </w:rPr>
            </w:pPr>
            <w:r w:rsidRPr="00EF0AA3">
              <w:rPr>
                <w:rFonts w:ascii="Garamond" w:hAnsi="Garamond"/>
                <w:b/>
                <w:sz w:val="18"/>
                <w:szCs w:val="18"/>
              </w:rPr>
              <w:t>This domain contributes 20% of the GACA Score</w:t>
            </w:r>
          </w:p>
        </w:tc>
        <w:tc>
          <w:tcPr>
            <w:tcW w:w="1303" w:type="dxa"/>
            <w:shd w:val="clear" w:color="auto" w:fill="F2DBDB"/>
          </w:tcPr>
          <w:p w:rsidR="00BC29F8" w:rsidRDefault="00BC29F8" w:rsidP="00C72111">
            <w:pPr>
              <w:autoSpaceDE w:val="0"/>
              <w:autoSpaceDN w:val="0"/>
              <w:adjustRightInd w:val="0"/>
              <w:spacing w:after="0" w:line="240" w:lineRule="auto"/>
              <w:jc w:val="center"/>
              <w:rPr>
                <w:rFonts w:ascii="Garamond" w:hAnsi="Garamond"/>
                <w:b/>
                <w:color w:val="000000"/>
                <w:sz w:val="20"/>
                <w:szCs w:val="20"/>
              </w:rPr>
            </w:pPr>
            <w:r w:rsidRPr="00EF0AA3">
              <w:rPr>
                <w:rFonts w:ascii="Garamond" w:hAnsi="Garamond"/>
                <w:b/>
                <w:color w:val="000000"/>
                <w:sz w:val="20"/>
                <w:szCs w:val="20"/>
              </w:rPr>
              <w:t>Highly</w:t>
            </w:r>
          </w:p>
          <w:p w:rsidR="00BC29F8" w:rsidRPr="00EF0AA3" w:rsidRDefault="00BC29F8" w:rsidP="00C72111">
            <w:pPr>
              <w:autoSpaceDE w:val="0"/>
              <w:autoSpaceDN w:val="0"/>
              <w:adjustRightInd w:val="0"/>
              <w:spacing w:after="0" w:line="240" w:lineRule="auto"/>
              <w:jc w:val="center"/>
              <w:rPr>
                <w:rFonts w:ascii="Garamond" w:hAnsi="Garamond"/>
                <w:b/>
                <w:color w:val="000000"/>
                <w:sz w:val="20"/>
                <w:szCs w:val="20"/>
              </w:rPr>
            </w:pPr>
            <w:r>
              <w:rPr>
                <w:rFonts w:ascii="Garamond" w:hAnsi="Garamond"/>
                <w:b/>
                <w:color w:val="000000"/>
                <w:sz w:val="20"/>
                <w:szCs w:val="20"/>
              </w:rPr>
              <w:t>Effective</w:t>
            </w:r>
          </w:p>
        </w:tc>
        <w:tc>
          <w:tcPr>
            <w:tcW w:w="1324" w:type="dxa"/>
            <w:shd w:val="clear" w:color="auto" w:fill="F2DBDB"/>
          </w:tcPr>
          <w:p w:rsidR="00BC29F8" w:rsidRPr="00EF0AA3" w:rsidRDefault="00BC29F8" w:rsidP="00C72111">
            <w:pPr>
              <w:autoSpaceDE w:val="0"/>
              <w:autoSpaceDN w:val="0"/>
              <w:adjustRightInd w:val="0"/>
              <w:spacing w:after="0" w:line="240" w:lineRule="auto"/>
              <w:jc w:val="center"/>
              <w:rPr>
                <w:rFonts w:ascii="Garamond" w:hAnsi="Garamond"/>
                <w:b/>
                <w:color w:val="000000"/>
                <w:sz w:val="20"/>
                <w:szCs w:val="20"/>
              </w:rPr>
            </w:pPr>
            <w:r w:rsidRPr="00EF0AA3">
              <w:rPr>
                <w:rFonts w:ascii="Garamond" w:hAnsi="Garamond"/>
                <w:b/>
                <w:color w:val="000000"/>
                <w:sz w:val="20"/>
                <w:szCs w:val="20"/>
              </w:rPr>
              <w:t>Effective</w:t>
            </w:r>
          </w:p>
        </w:tc>
        <w:tc>
          <w:tcPr>
            <w:tcW w:w="1854" w:type="dxa"/>
            <w:shd w:val="clear" w:color="auto" w:fill="F2DBDB"/>
          </w:tcPr>
          <w:p w:rsidR="00BC29F8" w:rsidRPr="00EF0AA3" w:rsidRDefault="00BC29F8" w:rsidP="00C72111">
            <w:pPr>
              <w:autoSpaceDE w:val="0"/>
              <w:autoSpaceDN w:val="0"/>
              <w:adjustRightInd w:val="0"/>
              <w:spacing w:after="0" w:line="240" w:lineRule="auto"/>
              <w:jc w:val="center"/>
              <w:rPr>
                <w:rFonts w:ascii="Garamond" w:hAnsi="Garamond"/>
                <w:b/>
                <w:color w:val="000000"/>
                <w:sz w:val="20"/>
                <w:szCs w:val="20"/>
              </w:rPr>
            </w:pPr>
            <w:r w:rsidRPr="00EF0AA3">
              <w:rPr>
                <w:rFonts w:ascii="Garamond" w:hAnsi="Garamond"/>
                <w:b/>
                <w:color w:val="000000"/>
                <w:sz w:val="20"/>
                <w:szCs w:val="20"/>
              </w:rPr>
              <w:t>Developing/Needs Improvement</w:t>
            </w:r>
          </w:p>
        </w:tc>
        <w:tc>
          <w:tcPr>
            <w:tcW w:w="1439" w:type="dxa"/>
            <w:shd w:val="clear" w:color="auto" w:fill="F2DBDB"/>
          </w:tcPr>
          <w:p w:rsidR="00BC29F8" w:rsidRPr="00EF0AA3" w:rsidRDefault="00BC29F8" w:rsidP="00C72111">
            <w:pPr>
              <w:autoSpaceDE w:val="0"/>
              <w:autoSpaceDN w:val="0"/>
              <w:adjustRightInd w:val="0"/>
              <w:spacing w:after="0" w:line="240" w:lineRule="auto"/>
              <w:jc w:val="center"/>
              <w:rPr>
                <w:rFonts w:ascii="Garamond" w:hAnsi="Garamond"/>
                <w:b/>
                <w:color w:val="000000"/>
                <w:sz w:val="20"/>
                <w:szCs w:val="20"/>
              </w:rPr>
            </w:pPr>
            <w:r w:rsidRPr="00EF0AA3">
              <w:rPr>
                <w:rFonts w:ascii="Garamond" w:hAnsi="Garamond"/>
                <w:b/>
                <w:color w:val="000000"/>
                <w:sz w:val="20"/>
                <w:szCs w:val="20"/>
              </w:rPr>
              <w:t>Unsatisfactory</w:t>
            </w: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p>
          <w:p w:rsidR="00BC29F8" w:rsidRPr="00EF0AA3" w:rsidRDefault="00BC29F8" w:rsidP="00C72111">
            <w:pPr>
              <w:spacing w:after="0" w:line="240" w:lineRule="auto"/>
              <w:rPr>
                <w:rFonts w:ascii="Garamond" w:hAnsi="Garamond"/>
                <w:b/>
                <w:sz w:val="18"/>
                <w:szCs w:val="18"/>
              </w:rPr>
            </w:pPr>
            <w:r w:rsidRPr="00EF0AA3">
              <w:rPr>
                <w:rFonts w:ascii="Garamond" w:hAnsi="Garamond"/>
                <w:b/>
                <w:sz w:val="18"/>
                <w:szCs w:val="18"/>
              </w:rPr>
              <w:t>Proficiency Area 9 – Professional Responsibilities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9.1 – Act in a professional and ethical manner and adhere at all times to the Code of Ethics and Principals of Professional Conduct.</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9.2 – Perform all assigned duties.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9.3 – Demonstrate attention to punctuality, attendance, records, and reports.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9.4 – Maintain confidentiality of student and other professional information.</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9.5 – Comply with policies, procedures, and programs.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9.6 – Support school improvement initiatives by active participation in school activities, services, and programs.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9.7 – Perform other incidental tasks consistent with the goals and objectives of this position.</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b/>
                <w:sz w:val="18"/>
                <w:szCs w:val="18"/>
              </w:rPr>
            </w:pPr>
          </w:p>
          <w:p w:rsidR="00BC29F8" w:rsidRPr="00EF0AA3" w:rsidRDefault="00BC29F8" w:rsidP="00C72111">
            <w:pPr>
              <w:spacing w:after="0" w:line="240" w:lineRule="auto"/>
              <w:rPr>
                <w:rFonts w:ascii="Garamond" w:hAnsi="Garamond"/>
                <w:sz w:val="18"/>
                <w:szCs w:val="18"/>
              </w:rPr>
            </w:pPr>
            <w:r w:rsidRPr="00EF0AA3">
              <w:rPr>
                <w:rFonts w:ascii="Garamond" w:hAnsi="Garamond"/>
                <w:b/>
                <w:sz w:val="18"/>
                <w:szCs w:val="18"/>
              </w:rPr>
              <w:t>Proficiency Area 10 – Assessment and Other Services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10.1 – The use of the adopted performance appraisal systems for instructional and other employees.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10.2 – The accurate and timely filing of all school reports.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10.3 – The completion of required professional development services.</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10.4 – The analyzing and reporting of the results of the School Improvement Teams’ efforts on student performance.</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r w:rsidR="00BC29F8" w:rsidRPr="00EF0AA3" w:rsidTr="00C72111">
        <w:tc>
          <w:tcPr>
            <w:tcW w:w="5240" w:type="dxa"/>
          </w:tcPr>
          <w:p w:rsidR="00BC29F8" w:rsidRPr="00EF0AA3" w:rsidRDefault="00BC29F8" w:rsidP="00C72111">
            <w:pPr>
              <w:spacing w:after="0" w:line="240" w:lineRule="auto"/>
              <w:rPr>
                <w:rFonts w:ascii="Garamond" w:hAnsi="Garamond"/>
                <w:sz w:val="18"/>
                <w:szCs w:val="18"/>
              </w:rPr>
            </w:pPr>
            <w:r w:rsidRPr="00EF0AA3">
              <w:rPr>
                <w:rFonts w:ascii="Garamond" w:hAnsi="Garamond"/>
                <w:sz w:val="18"/>
                <w:szCs w:val="18"/>
              </w:rPr>
              <w:t>Indicator 10.5 – Assist in establishing and maintaining a positive collaborative relationship with the students’ families to increase student achievement.</w:t>
            </w:r>
          </w:p>
        </w:tc>
        <w:tc>
          <w:tcPr>
            <w:tcW w:w="1303"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32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854"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c>
          <w:tcPr>
            <w:tcW w:w="1439" w:type="dxa"/>
          </w:tcPr>
          <w:p w:rsidR="00BC29F8" w:rsidRPr="00EF0AA3" w:rsidRDefault="00BC29F8" w:rsidP="00C72111">
            <w:pPr>
              <w:autoSpaceDE w:val="0"/>
              <w:autoSpaceDN w:val="0"/>
              <w:adjustRightInd w:val="0"/>
              <w:spacing w:after="0" w:line="240" w:lineRule="auto"/>
              <w:jc w:val="center"/>
              <w:rPr>
                <w:rFonts w:ascii="Garamond" w:hAnsi="Garamond"/>
                <w:color w:val="000000"/>
                <w:sz w:val="20"/>
                <w:szCs w:val="20"/>
              </w:rPr>
            </w:pPr>
          </w:p>
        </w:tc>
      </w:tr>
    </w:tbl>
    <w:p w:rsidR="00BC29F8" w:rsidRDefault="00BC29F8" w:rsidP="00DF3D4E"/>
    <w:p w:rsidR="00B9459E" w:rsidRDefault="00B9459E" w:rsidP="00DF3D4E"/>
    <w:p w:rsidR="0091309F" w:rsidRDefault="0091309F" w:rsidP="0091309F">
      <w:pPr>
        <w:rPr>
          <w:rFonts w:ascii="Garamond" w:hAnsi="Garamond"/>
        </w:rPr>
      </w:pPr>
    </w:p>
    <w:tbl>
      <w:tblPr>
        <w:tblStyle w:val="TableGrid"/>
        <w:tblW w:w="11160" w:type="dxa"/>
        <w:tblInd w:w="-792" w:type="dxa"/>
        <w:tblLook w:val="04A0" w:firstRow="1" w:lastRow="0" w:firstColumn="1" w:lastColumn="0" w:noHBand="0" w:noVBand="1"/>
      </w:tblPr>
      <w:tblGrid>
        <w:gridCol w:w="11160"/>
      </w:tblGrid>
      <w:tr w:rsidR="0091309F" w:rsidTr="0091309F">
        <w:tc>
          <w:tcPr>
            <w:tcW w:w="11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309F" w:rsidRDefault="0091309F">
            <w:pPr>
              <w:jc w:val="both"/>
              <w:rPr>
                <w:rFonts w:ascii="Garamond" w:eastAsia="Calibri" w:hAnsi="Garamond"/>
              </w:rPr>
            </w:pPr>
            <w:r>
              <w:rPr>
                <w:rFonts w:ascii="Garamond" w:hAnsi="Garamond"/>
                <w:b/>
              </w:rPr>
              <w:t xml:space="preserve">Evaluator’s Comments/Reflections: </w:t>
            </w:r>
            <w:r>
              <w:rPr>
                <w:rFonts w:ascii="Garamond" w:hAnsi="Garamond"/>
              </w:rPr>
              <w:t xml:space="preserve"> </w:t>
            </w:r>
          </w:p>
          <w:p w:rsidR="0091309F" w:rsidRDefault="0091309F">
            <w:pPr>
              <w:jc w:val="both"/>
              <w:rPr>
                <w:rFonts w:ascii="Garamond" w:hAnsi="Garamond"/>
              </w:rPr>
            </w:pPr>
          </w:p>
          <w:p w:rsidR="0091309F" w:rsidRDefault="0091309F">
            <w:pPr>
              <w:jc w:val="both"/>
              <w:rPr>
                <w:rFonts w:ascii="Garamond" w:hAnsi="Garamond"/>
              </w:rPr>
            </w:pPr>
          </w:p>
          <w:p w:rsidR="0091309F" w:rsidRDefault="0091309F">
            <w:pPr>
              <w:jc w:val="both"/>
              <w:rPr>
                <w:rFonts w:ascii="Garamond" w:hAnsi="Garamond"/>
              </w:rPr>
            </w:pPr>
          </w:p>
          <w:p w:rsidR="0091309F" w:rsidRDefault="0091309F">
            <w:pPr>
              <w:jc w:val="both"/>
              <w:rPr>
                <w:rFonts w:ascii="Garamond" w:eastAsia="Calibri" w:hAnsi="Garamond" w:cs="Times New Roman"/>
              </w:rPr>
            </w:pPr>
          </w:p>
        </w:tc>
      </w:tr>
    </w:tbl>
    <w:p w:rsidR="0091309F" w:rsidRDefault="0091309F" w:rsidP="0091309F">
      <w:pPr>
        <w:rPr>
          <w:rFonts w:ascii="Garamond" w:hAnsi="Garamond"/>
        </w:rPr>
      </w:pPr>
    </w:p>
    <w:tbl>
      <w:tblPr>
        <w:tblStyle w:val="TableGrid"/>
        <w:tblW w:w="11160" w:type="dxa"/>
        <w:tblInd w:w="-792" w:type="dxa"/>
        <w:tblLook w:val="04A0" w:firstRow="1" w:lastRow="0" w:firstColumn="1" w:lastColumn="0" w:noHBand="0" w:noVBand="1"/>
      </w:tblPr>
      <w:tblGrid>
        <w:gridCol w:w="11160"/>
      </w:tblGrid>
      <w:tr w:rsidR="0091309F" w:rsidTr="0091309F">
        <w:tc>
          <w:tcPr>
            <w:tcW w:w="11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309F" w:rsidRDefault="0091309F">
            <w:pPr>
              <w:jc w:val="both"/>
              <w:rPr>
                <w:rFonts w:ascii="Garamond" w:eastAsia="Calibri" w:hAnsi="Garamond"/>
              </w:rPr>
            </w:pPr>
            <w:r>
              <w:rPr>
                <w:rFonts w:ascii="Garamond" w:hAnsi="Garamond"/>
                <w:b/>
              </w:rPr>
              <w:t xml:space="preserve">Non Classroom </w:t>
            </w:r>
            <w:r w:rsidR="00F86DAD">
              <w:rPr>
                <w:rFonts w:ascii="Garamond" w:hAnsi="Garamond"/>
                <w:b/>
              </w:rPr>
              <w:t>Personnel</w:t>
            </w:r>
            <w:r>
              <w:rPr>
                <w:rFonts w:ascii="Garamond" w:hAnsi="Garamond"/>
                <w:b/>
              </w:rPr>
              <w:t xml:space="preserve"> Comments/Reflections: </w:t>
            </w:r>
            <w:r>
              <w:rPr>
                <w:rFonts w:ascii="Garamond" w:hAnsi="Garamond"/>
              </w:rPr>
              <w:t xml:space="preserve"> </w:t>
            </w:r>
          </w:p>
          <w:p w:rsidR="0091309F" w:rsidRDefault="0091309F">
            <w:pPr>
              <w:jc w:val="both"/>
              <w:rPr>
                <w:rFonts w:ascii="Garamond" w:hAnsi="Garamond"/>
              </w:rPr>
            </w:pPr>
          </w:p>
          <w:p w:rsidR="0091309F" w:rsidRDefault="0091309F">
            <w:pPr>
              <w:jc w:val="both"/>
              <w:rPr>
                <w:rFonts w:ascii="Garamond" w:hAnsi="Garamond"/>
              </w:rPr>
            </w:pPr>
          </w:p>
          <w:p w:rsidR="0091309F" w:rsidRDefault="0091309F">
            <w:pPr>
              <w:jc w:val="both"/>
              <w:rPr>
                <w:rFonts w:ascii="Garamond" w:hAnsi="Garamond"/>
              </w:rPr>
            </w:pPr>
          </w:p>
          <w:p w:rsidR="0091309F" w:rsidRDefault="0091309F">
            <w:pPr>
              <w:jc w:val="both"/>
              <w:rPr>
                <w:rFonts w:ascii="Garamond" w:eastAsia="Calibri" w:hAnsi="Garamond" w:cs="Times New Roman"/>
              </w:rPr>
            </w:pPr>
          </w:p>
        </w:tc>
      </w:tr>
    </w:tbl>
    <w:p w:rsidR="0091309F" w:rsidRDefault="0091309F" w:rsidP="0091309F">
      <w:pPr>
        <w:spacing w:after="0" w:line="240" w:lineRule="auto"/>
        <w:jc w:val="both"/>
        <w:rPr>
          <w:sz w:val="16"/>
          <w:szCs w:val="16"/>
        </w:rPr>
      </w:pPr>
    </w:p>
    <w:p w:rsidR="007E7F01" w:rsidRDefault="007E7F01" w:rsidP="0035511A">
      <w:pPr>
        <w:spacing w:after="0" w:line="240" w:lineRule="auto"/>
        <w:jc w:val="both"/>
        <w:rPr>
          <w:sz w:val="16"/>
          <w:szCs w:val="16"/>
        </w:rPr>
      </w:pPr>
    </w:p>
    <w:p w:rsidR="007E7F01" w:rsidRDefault="007E7F01" w:rsidP="0035511A">
      <w:pPr>
        <w:spacing w:after="0" w:line="240" w:lineRule="auto"/>
        <w:jc w:val="both"/>
        <w:rPr>
          <w:sz w:val="16"/>
          <w:szCs w:val="16"/>
        </w:rPr>
      </w:pPr>
    </w:p>
    <w:p w:rsidR="007E7F01" w:rsidRPr="00760B31" w:rsidRDefault="007E7F01" w:rsidP="0035511A">
      <w:pPr>
        <w:spacing w:after="0" w:line="240" w:lineRule="auto"/>
        <w:jc w:val="both"/>
        <w:rPr>
          <w:sz w:val="16"/>
          <w:szCs w:val="16"/>
        </w:rPr>
      </w:pPr>
    </w:p>
    <w:p w:rsidR="0035511A" w:rsidRDefault="0035511A" w:rsidP="0035511A">
      <w:pPr>
        <w:spacing w:after="0" w:line="240" w:lineRule="auto"/>
        <w:jc w:val="both"/>
      </w:pPr>
    </w:p>
    <w:tbl>
      <w:tblPr>
        <w:tblW w:w="10440" w:type="dxa"/>
        <w:tblInd w:w="-4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00"/>
        <w:gridCol w:w="267"/>
        <w:gridCol w:w="266"/>
        <w:gridCol w:w="1697"/>
        <w:gridCol w:w="315"/>
        <w:gridCol w:w="1090"/>
        <w:gridCol w:w="266"/>
        <w:gridCol w:w="2118"/>
        <w:gridCol w:w="257"/>
        <w:gridCol w:w="1864"/>
      </w:tblGrid>
      <w:tr w:rsidR="0035511A" w:rsidRPr="00F86DAD" w:rsidTr="0035511A">
        <w:tc>
          <w:tcPr>
            <w:tcW w:w="2300" w:type="dxa"/>
            <w:tcBorders>
              <w:top w:val="nil"/>
              <w:left w:val="nil"/>
              <w:bottom w:val="nil"/>
              <w:right w:val="nil"/>
            </w:tcBorders>
          </w:tcPr>
          <w:p w:rsidR="0035511A" w:rsidRPr="00F86DAD" w:rsidRDefault="0035511A" w:rsidP="0035511A">
            <w:pPr>
              <w:spacing w:after="0" w:line="240" w:lineRule="auto"/>
              <w:jc w:val="both"/>
              <w:rPr>
                <w:rFonts w:asciiTheme="majorHAnsi" w:hAnsiTheme="majorHAnsi"/>
                <w:b/>
                <w:sz w:val="20"/>
                <w:szCs w:val="20"/>
              </w:rPr>
            </w:pPr>
            <w:r w:rsidRPr="00F86DAD">
              <w:rPr>
                <w:rFonts w:asciiTheme="majorHAnsi" w:hAnsiTheme="majorHAnsi"/>
                <w:b/>
                <w:sz w:val="20"/>
                <w:szCs w:val="20"/>
              </w:rPr>
              <w:t>Performance Levels</w:t>
            </w:r>
          </w:p>
        </w:tc>
        <w:tc>
          <w:tcPr>
            <w:tcW w:w="267" w:type="dxa"/>
            <w:tcBorders>
              <w:top w:val="nil"/>
              <w:left w:val="nil"/>
              <w:bottom w:val="nil"/>
              <w:right w:val="single" w:sz="4" w:space="0" w:color="auto"/>
            </w:tcBorders>
          </w:tcPr>
          <w:p w:rsidR="0035511A" w:rsidRPr="00F86DAD" w:rsidRDefault="0035511A" w:rsidP="0035511A">
            <w:pPr>
              <w:spacing w:after="0" w:line="240" w:lineRule="auto"/>
              <w:jc w:val="both"/>
              <w:rPr>
                <w:rFonts w:asciiTheme="majorHAnsi" w:hAnsiTheme="majorHAnsi"/>
                <w:b/>
                <w:sz w:val="20"/>
                <w:szCs w:val="20"/>
              </w:rPr>
            </w:pPr>
          </w:p>
        </w:tc>
        <w:tc>
          <w:tcPr>
            <w:tcW w:w="266" w:type="dxa"/>
            <w:tcBorders>
              <w:left w:val="single" w:sz="4" w:space="0" w:color="auto"/>
            </w:tcBorders>
          </w:tcPr>
          <w:p w:rsidR="0035511A" w:rsidRPr="00F86DAD" w:rsidRDefault="0035511A" w:rsidP="0035511A">
            <w:pPr>
              <w:spacing w:after="0" w:line="240" w:lineRule="auto"/>
              <w:jc w:val="both"/>
              <w:rPr>
                <w:rFonts w:asciiTheme="majorHAnsi" w:hAnsiTheme="majorHAnsi"/>
                <w:b/>
                <w:sz w:val="20"/>
                <w:szCs w:val="20"/>
              </w:rPr>
            </w:pPr>
          </w:p>
        </w:tc>
        <w:tc>
          <w:tcPr>
            <w:tcW w:w="1697" w:type="dxa"/>
            <w:tcBorders>
              <w:top w:val="nil"/>
              <w:bottom w:val="nil"/>
            </w:tcBorders>
          </w:tcPr>
          <w:p w:rsidR="0035511A" w:rsidRPr="00F86DAD" w:rsidRDefault="0035511A" w:rsidP="0035511A">
            <w:pPr>
              <w:spacing w:after="0" w:line="240" w:lineRule="auto"/>
              <w:jc w:val="both"/>
              <w:rPr>
                <w:rFonts w:asciiTheme="majorHAnsi" w:hAnsiTheme="majorHAnsi"/>
                <w:b/>
                <w:sz w:val="20"/>
                <w:szCs w:val="20"/>
              </w:rPr>
            </w:pPr>
            <w:r w:rsidRPr="00F86DAD">
              <w:rPr>
                <w:rFonts w:asciiTheme="majorHAnsi" w:hAnsiTheme="majorHAnsi"/>
                <w:b/>
                <w:sz w:val="20"/>
                <w:szCs w:val="20"/>
              </w:rPr>
              <w:t>Highly Effective</w:t>
            </w:r>
          </w:p>
        </w:tc>
        <w:tc>
          <w:tcPr>
            <w:tcW w:w="315" w:type="dxa"/>
          </w:tcPr>
          <w:p w:rsidR="0035511A" w:rsidRPr="00F86DAD" w:rsidRDefault="0035511A" w:rsidP="0035511A">
            <w:pPr>
              <w:spacing w:after="0" w:line="240" w:lineRule="auto"/>
              <w:jc w:val="both"/>
              <w:rPr>
                <w:rFonts w:asciiTheme="majorHAnsi" w:hAnsiTheme="majorHAnsi"/>
                <w:b/>
                <w:sz w:val="20"/>
                <w:szCs w:val="20"/>
              </w:rPr>
            </w:pPr>
          </w:p>
        </w:tc>
        <w:tc>
          <w:tcPr>
            <w:tcW w:w="1090" w:type="dxa"/>
            <w:tcBorders>
              <w:top w:val="nil"/>
              <w:bottom w:val="nil"/>
            </w:tcBorders>
          </w:tcPr>
          <w:p w:rsidR="0035511A" w:rsidRPr="00F86DAD" w:rsidRDefault="0035511A" w:rsidP="0035511A">
            <w:pPr>
              <w:spacing w:after="0" w:line="240" w:lineRule="auto"/>
              <w:jc w:val="both"/>
              <w:rPr>
                <w:rFonts w:asciiTheme="majorHAnsi" w:hAnsiTheme="majorHAnsi"/>
                <w:b/>
                <w:sz w:val="20"/>
                <w:szCs w:val="20"/>
              </w:rPr>
            </w:pPr>
            <w:r w:rsidRPr="00F86DAD">
              <w:rPr>
                <w:rFonts w:asciiTheme="majorHAnsi" w:hAnsiTheme="majorHAnsi"/>
                <w:b/>
                <w:sz w:val="20"/>
                <w:szCs w:val="20"/>
              </w:rPr>
              <w:t>Effective</w:t>
            </w:r>
          </w:p>
        </w:tc>
        <w:tc>
          <w:tcPr>
            <w:tcW w:w="266" w:type="dxa"/>
          </w:tcPr>
          <w:p w:rsidR="0035511A" w:rsidRPr="00F86DAD" w:rsidRDefault="0035511A" w:rsidP="0035511A">
            <w:pPr>
              <w:spacing w:after="0" w:line="240" w:lineRule="auto"/>
              <w:jc w:val="both"/>
              <w:rPr>
                <w:rFonts w:asciiTheme="majorHAnsi" w:hAnsiTheme="majorHAnsi"/>
                <w:b/>
                <w:sz w:val="20"/>
                <w:szCs w:val="20"/>
              </w:rPr>
            </w:pPr>
          </w:p>
        </w:tc>
        <w:tc>
          <w:tcPr>
            <w:tcW w:w="2118" w:type="dxa"/>
            <w:tcBorders>
              <w:top w:val="nil"/>
              <w:bottom w:val="nil"/>
            </w:tcBorders>
          </w:tcPr>
          <w:p w:rsidR="0035511A" w:rsidRPr="00F86DAD" w:rsidRDefault="0035511A" w:rsidP="0035511A">
            <w:pPr>
              <w:spacing w:after="0" w:line="240" w:lineRule="auto"/>
              <w:jc w:val="both"/>
              <w:rPr>
                <w:rFonts w:asciiTheme="majorHAnsi" w:hAnsiTheme="majorHAnsi"/>
                <w:b/>
                <w:sz w:val="20"/>
                <w:szCs w:val="20"/>
              </w:rPr>
            </w:pPr>
            <w:r w:rsidRPr="00F86DAD">
              <w:rPr>
                <w:rFonts w:asciiTheme="majorHAnsi" w:hAnsiTheme="majorHAnsi"/>
                <w:b/>
                <w:sz w:val="20"/>
                <w:szCs w:val="20"/>
              </w:rPr>
              <w:t>Needs Improvement</w:t>
            </w:r>
            <w:r w:rsidR="00F86DAD" w:rsidRPr="00F86DAD">
              <w:rPr>
                <w:rFonts w:asciiTheme="majorHAnsi" w:hAnsiTheme="majorHAnsi"/>
                <w:b/>
                <w:sz w:val="20"/>
                <w:szCs w:val="20"/>
              </w:rPr>
              <w:t>/</w:t>
            </w:r>
          </w:p>
        </w:tc>
        <w:tc>
          <w:tcPr>
            <w:tcW w:w="257" w:type="dxa"/>
          </w:tcPr>
          <w:p w:rsidR="0035511A" w:rsidRPr="00F86DAD" w:rsidRDefault="0035511A" w:rsidP="0035511A">
            <w:pPr>
              <w:spacing w:after="0" w:line="240" w:lineRule="auto"/>
              <w:jc w:val="both"/>
              <w:rPr>
                <w:rFonts w:asciiTheme="majorHAnsi" w:hAnsiTheme="majorHAnsi"/>
                <w:b/>
                <w:sz w:val="20"/>
                <w:szCs w:val="20"/>
              </w:rPr>
            </w:pPr>
          </w:p>
        </w:tc>
        <w:tc>
          <w:tcPr>
            <w:tcW w:w="1864" w:type="dxa"/>
            <w:tcBorders>
              <w:top w:val="nil"/>
              <w:bottom w:val="nil"/>
              <w:right w:val="nil"/>
            </w:tcBorders>
          </w:tcPr>
          <w:p w:rsidR="0035511A" w:rsidRPr="00F86DAD" w:rsidRDefault="0035511A" w:rsidP="0035511A">
            <w:pPr>
              <w:spacing w:after="0" w:line="240" w:lineRule="auto"/>
              <w:jc w:val="both"/>
              <w:rPr>
                <w:rFonts w:asciiTheme="majorHAnsi" w:hAnsiTheme="majorHAnsi"/>
                <w:b/>
                <w:sz w:val="20"/>
                <w:szCs w:val="20"/>
              </w:rPr>
            </w:pPr>
            <w:r w:rsidRPr="00F86DAD">
              <w:rPr>
                <w:rFonts w:asciiTheme="majorHAnsi" w:hAnsiTheme="majorHAnsi"/>
                <w:b/>
                <w:sz w:val="20"/>
                <w:szCs w:val="20"/>
              </w:rPr>
              <w:t>Unsatisfactory</w:t>
            </w:r>
          </w:p>
        </w:tc>
      </w:tr>
    </w:tbl>
    <w:p w:rsidR="0035511A" w:rsidRPr="00F86DAD" w:rsidRDefault="00F86DAD" w:rsidP="0035511A">
      <w:pPr>
        <w:spacing w:after="0" w:line="240" w:lineRule="auto"/>
        <w:jc w:val="both"/>
        <w:rPr>
          <w:rFonts w:asciiTheme="majorHAnsi" w:hAnsiTheme="majorHAnsi"/>
          <w:b/>
          <w:sz w:val="20"/>
          <w:szCs w:val="20"/>
        </w:rPr>
      </w:pPr>
      <w:r w:rsidRPr="00F86DAD">
        <w:rPr>
          <w:rFonts w:asciiTheme="majorHAnsi" w:hAnsiTheme="majorHAnsi"/>
          <w:sz w:val="20"/>
          <w:szCs w:val="20"/>
        </w:rPr>
        <w:tab/>
      </w:r>
      <w:r w:rsidRPr="00F86DAD">
        <w:rPr>
          <w:rFonts w:asciiTheme="majorHAnsi" w:hAnsiTheme="majorHAnsi"/>
          <w:sz w:val="20"/>
          <w:szCs w:val="20"/>
        </w:rPr>
        <w:tab/>
      </w:r>
      <w:r w:rsidRPr="00F86DAD">
        <w:rPr>
          <w:rFonts w:asciiTheme="majorHAnsi" w:hAnsiTheme="majorHAnsi"/>
          <w:sz w:val="20"/>
          <w:szCs w:val="20"/>
        </w:rPr>
        <w:tab/>
      </w:r>
      <w:r w:rsidRPr="00F86DAD">
        <w:rPr>
          <w:rFonts w:asciiTheme="majorHAnsi" w:hAnsiTheme="majorHAnsi"/>
          <w:sz w:val="20"/>
          <w:szCs w:val="20"/>
        </w:rPr>
        <w:tab/>
      </w:r>
      <w:r w:rsidRPr="00F86DAD">
        <w:rPr>
          <w:rFonts w:asciiTheme="majorHAnsi" w:hAnsiTheme="majorHAnsi"/>
          <w:sz w:val="20"/>
          <w:szCs w:val="20"/>
        </w:rPr>
        <w:tab/>
      </w:r>
      <w:r w:rsidRPr="00F86DAD">
        <w:rPr>
          <w:rFonts w:asciiTheme="majorHAnsi" w:hAnsiTheme="majorHAnsi"/>
          <w:sz w:val="20"/>
          <w:szCs w:val="20"/>
        </w:rPr>
        <w:tab/>
      </w:r>
      <w:r w:rsidRPr="00F86DAD">
        <w:rPr>
          <w:rFonts w:asciiTheme="majorHAnsi" w:hAnsiTheme="majorHAnsi"/>
          <w:sz w:val="20"/>
          <w:szCs w:val="20"/>
        </w:rPr>
        <w:tab/>
      </w:r>
      <w:r w:rsidRPr="00F86DAD">
        <w:rPr>
          <w:rFonts w:asciiTheme="majorHAnsi" w:hAnsiTheme="majorHAnsi"/>
          <w:sz w:val="20"/>
          <w:szCs w:val="20"/>
        </w:rPr>
        <w:tab/>
        <w:t xml:space="preserve">  </w:t>
      </w:r>
      <w:r w:rsidRPr="00F86DAD">
        <w:rPr>
          <w:rFonts w:asciiTheme="majorHAnsi" w:hAnsiTheme="majorHAnsi"/>
          <w:b/>
          <w:sz w:val="20"/>
          <w:szCs w:val="20"/>
        </w:rPr>
        <w:t>Developing</w:t>
      </w:r>
    </w:p>
    <w:p w:rsidR="0035511A" w:rsidRDefault="0035511A" w:rsidP="0035511A">
      <w:pPr>
        <w:spacing w:after="0" w:line="240" w:lineRule="auto"/>
        <w:jc w:val="both"/>
      </w:pPr>
    </w:p>
    <w:p w:rsidR="0091309F" w:rsidRDefault="0091309F" w:rsidP="0035511A">
      <w:pPr>
        <w:spacing w:after="0" w:line="240" w:lineRule="auto"/>
        <w:jc w:val="both"/>
      </w:pPr>
    </w:p>
    <w:p w:rsidR="0091309F" w:rsidRDefault="0091309F" w:rsidP="0035511A">
      <w:pPr>
        <w:spacing w:after="0" w:line="240" w:lineRule="auto"/>
        <w:jc w:val="both"/>
      </w:pPr>
    </w:p>
    <w:p w:rsidR="0091309F" w:rsidRDefault="0091309F" w:rsidP="0035511A">
      <w:pPr>
        <w:spacing w:after="0" w:line="240" w:lineRule="auto"/>
        <w:jc w:val="both"/>
      </w:pPr>
    </w:p>
    <w:p w:rsidR="0091309F" w:rsidRDefault="0091309F" w:rsidP="0035511A">
      <w:pPr>
        <w:spacing w:after="0" w:line="240" w:lineRule="auto"/>
        <w:jc w:val="both"/>
      </w:pPr>
    </w:p>
    <w:p w:rsidR="0091309F" w:rsidRDefault="0091309F" w:rsidP="0035511A">
      <w:pPr>
        <w:spacing w:after="0" w:line="240" w:lineRule="auto"/>
        <w:jc w:val="both"/>
      </w:pPr>
    </w:p>
    <w:p w:rsidR="0091309F" w:rsidRDefault="0091309F" w:rsidP="0035511A">
      <w:pPr>
        <w:spacing w:after="0" w:line="240" w:lineRule="auto"/>
        <w:jc w:val="both"/>
      </w:pPr>
    </w:p>
    <w:p w:rsidR="0091309F" w:rsidRDefault="0091309F" w:rsidP="0035511A">
      <w:pPr>
        <w:spacing w:after="0" w:line="240" w:lineRule="auto"/>
        <w:jc w:val="both"/>
      </w:pPr>
    </w:p>
    <w:p w:rsidR="0091309F" w:rsidRDefault="0091309F" w:rsidP="0035511A">
      <w:pPr>
        <w:spacing w:after="0" w:line="240" w:lineRule="auto"/>
        <w:jc w:val="both"/>
      </w:pPr>
    </w:p>
    <w:p w:rsidR="0091309F" w:rsidRDefault="0091309F" w:rsidP="0035511A">
      <w:pPr>
        <w:spacing w:after="0" w:line="240" w:lineRule="auto"/>
        <w:jc w:val="both"/>
      </w:pPr>
    </w:p>
    <w:p w:rsidR="0091309F" w:rsidRDefault="0091309F" w:rsidP="0035511A">
      <w:pPr>
        <w:spacing w:after="0" w:line="240" w:lineRule="auto"/>
        <w:jc w:val="both"/>
      </w:pPr>
    </w:p>
    <w:p w:rsidR="0091309F" w:rsidRDefault="0091309F" w:rsidP="0035511A">
      <w:pPr>
        <w:spacing w:after="0" w:line="240" w:lineRule="auto"/>
        <w:jc w:val="both"/>
      </w:pPr>
    </w:p>
    <w:p w:rsidR="0035511A" w:rsidRDefault="0035511A" w:rsidP="0035511A">
      <w:pPr>
        <w:spacing w:after="0" w:line="240" w:lineRule="auto"/>
        <w:jc w:val="both"/>
      </w:pPr>
    </w:p>
    <w:tbl>
      <w:tblPr>
        <w:tblW w:w="10350" w:type="dxa"/>
        <w:tblInd w:w="-4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212"/>
        <w:gridCol w:w="3708"/>
        <w:gridCol w:w="270"/>
        <w:gridCol w:w="990"/>
        <w:gridCol w:w="1170"/>
      </w:tblGrid>
      <w:tr w:rsidR="0035511A" w:rsidRPr="00760B31" w:rsidTr="00B8763F">
        <w:tc>
          <w:tcPr>
            <w:tcW w:w="4212" w:type="dxa"/>
            <w:tcBorders>
              <w:top w:val="nil"/>
              <w:left w:val="nil"/>
              <w:bottom w:val="nil"/>
              <w:right w:val="nil"/>
            </w:tcBorders>
          </w:tcPr>
          <w:p w:rsidR="0035511A" w:rsidRPr="0035511A" w:rsidRDefault="0035511A" w:rsidP="00F86DAD">
            <w:pPr>
              <w:spacing w:after="0" w:line="240" w:lineRule="auto"/>
              <w:jc w:val="both"/>
              <w:rPr>
                <w:rFonts w:asciiTheme="majorHAnsi" w:hAnsiTheme="majorHAnsi"/>
                <w:b/>
                <w:sz w:val="24"/>
                <w:szCs w:val="24"/>
              </w:rPr>
            </w:pPr>
            <w:r w:rsidRPr="0035511A">
              <w:rPr>
                <w:rFonts w:asciiTheme="majorHAnsi" w:hAnsiTheme="majorHAnsi"/>
                <w:b/>
                <w:sz w:val="24"/>
                <w:szCs w:val="24"/>
              </w:rPr>
              <w:t xml:space="preserve">Non Classroom </w:t>
            </w:r>
            <w:r w:rsidR="00F86DAD">
              <w:rPr>
                <w:rFonts w:asciiTheme="majorHAnsi" w:hAnsiTheme="majorHAnsi"/>
                <w:b/>
                <w:sz w:val="24"/>
                <w:szCs w:val="24"/>
              </w:rPr>
              <w:t>Personnel</w:t>
            </w:r>
            <w:r w:rsidRPr="0035511A">
              <w:rPr>
                <w:rFonts w:asciiTheme="majorHAnsi" w:hAnsiTheme="majorHAnsi"/>
                <w:b/>
                <w:sz w:val="24"/>
                <w:szCs w:val="24"/>
              </w:rPr>
              <w:t xml:space="preserve"> Signature:</w:t>
            </w:r>
          </w:p>
        </w:tc>
        <w:tc>
          <w:tcPr>
            <w:tcW w:w="3708" w:type="dxa"/>
            <w:tcBorders>
              <w:top w:val="nil"/>
              <w:left w:val="nil"/>
              <w:right w:val="nil"/>
            </w:tcBorders>
          </w:tcPr>
          <w:p w:rsidR="0035511A" w:rsidRPr="0035511A" w:rsidRDefault="0035511A" w:rsidP="0035511A">
            <w:pPr>
              <w:spacing w:after="0" w:line="240" w:lineRule="auto"/>
              <w:jc w:val="both"/>
              <w:rPr>
                <w:rFonts w:asciiTheme="majorHAnsi" w:hAnsiTheme="majorHAnsi"/>
                <w:b/>
                <w:sz w:val="32"/>
                <w:szCs w:val="32"/>
              </w:rPr>
            </w:pPr>
          </w:p>
        </w:tc>
        <w:tc>
          <w:tcPr>
            <w:tcW w:w="270" w:type="dxa"/>
            <w:tcBorders>
              <w:top w:val="nil"/>
              <w:left w:val="nil"/>
              <w:bottom w:val="nil"/>
              <w:right w:val="nil"/>
            </w:tcBorders>
          </w:tcPr>
          <w:p w:rsidR="0035511A" w:rsidRPr="0035511A" w:rsidRDefault="0035511A" w:rsidP="0035511A">
            <w:pPr>
              <w:spacing w:after="0" w:line="240" w:lineRule="auto"/>
              <w:jc w:val="both"/>
              <w:rPr>
                <w:rFonts w:asciiTheme="majorHAnsi" w:hAnsiTheme="majorHAnsi"/>
                <w:b/>
                <w:sz w:val="24"/>
                <w:szCs w:val="24"/>
              </w:rPr>
            </w:pPr>
          </w:p>
        </w:tc>
        <w:tc>
          <w:tcPr>
            <w:tcW w:w="990" w:type="dxa"/>
            <w:tcBorders>
              <w:top w:val="nil"/>
              <w:left w:val="nil"/>
              <w:bottom w:val="nil"/>
              <w:right w:val="nil"/>
            </w:tcBorders>
          </w:tcPr>
          <w:p w:rsidR="0035511A" w:rsidRPr="0035511A" w:rsidRDefault="0035511A" w:rsidP="0035511A">
            <w:pPr>
              <w:spacing w:after="0" w:line="240" w:lineRule="auto"/>
              <w:jc w:val="right"/>
              <w:rPr>
                <w:rFonts w:asciiTheme="majorHAnsi" w:hAnsiTheme="majorHAnsi"/>
                <w:b/>
                <w:sz w:val="24"/>
                <w:szCs w:val="24"/>
              </w:rPr>
            </w:pPr>
            <w:r w:rsidRPr="0035511A">
              <w:rPr>
                <w:rFonts w:asciiTheme="majorHAnsi" w:hAnsiTheme="majorHAnsi"/>
                <w:b/>
                <w:sz w:val="24"/>
                <w:szCs w:val="24"/>
              </w:rPr>
              <w:t>Date:</w:t>
            </w:r>
          </w:p>
        </w:tc>
        <w:tc>
          <w:tcPr>
            <w:tcW w:w="1170" w:type="dxa"/>
            <w:tcBorders>
              <w:top w:val="nil"/>
              <w:left w:val="nil"/>
              <w:right w:val="nil"/>
            </w:tcBorders>
          </w:tcPr>
          <w:p w:rsidR="0035511A" w:rsidRPr="0035511A" w:rsidRDefault="0035511A" w:rsidP="0035511A">
            <w:pPr>
              <w:spacing w:after="0" w:line="240" w:lineRule="auto"/>
              <w:jc w:val="both"/>
              <w:rPr>
                <w:rFonts w:asciiTheme="majorHAnsi" w:hAnsiTheme="majorHAnsi"/>
                <w:b/>
                <w:sz w:val="24"/>
                <w:szCs w:val="24"/>
              </w:rPr>
            </w:pPr>
          </w:p>
        </w:tc>
      </w:tr>
      <w:tr w:rsidR="0035511A" w:rsidRPr="00760B31" w:rsidTr="00B8763F">
        <w:tc>
          <w:tcPr>
            <w:tcW w:w="4212" w:type="dxa"/>
            <w:tcBorders>
              <w:top w:val="nil"/>
              <w:left w:val="nil"/>
              <w:bottom w:val="nil"/>
              <w:right w:val="nil"/>
            </w:tcBorders>
          </w:tcPr>
          <w:p w:rsidR="0035511A" w:rsidRPr="0035511A" w:rsidRDefault="0035511A" w:rsidP="0035511A">
            <w:pPr>
              <w:spacing w:after="0" w:line="240" w:lineRule="auto"/>
              <w:jc w:val="both"/>
              <w:rPr>
                <w:rFonts w:asciiTheme="majorHAnsi" w:hAnsiTheme="majorHAnsi"/>
                <w:b/>
                <w:sz w:val="24"/>
                <w:szCs w:val="24"/>
              </w:rPr>
            </w:pPr>
            <w:r w:rsidRPr="0035511A">
              <w:rPr>
                <w:rFonts w:asciiTheme="majorHAnsi" w:hAnsiTheme="majorHAnsi"/>
                <w:b/>
                <w:sz w:val="24"/>
                <w:szCs w:val="24"/>
              </w:rPr>
              <w:t>Evaluator’s Signature:</w:t>
            </w:r>
          </w:p>
        </w:tc>
        <w:tc>
          <w:tcPr>
            <w:tcW w:w="3708" w:type="dxa"/>
            <w:tcBorders>
              <w:left w:val="nil"/>
              <w:right w:val="nil"/>
            </w:tcBorders>
          </w:tcPr>
          <w:p w:rsidR="0035511A" w:rsidRPr="0035511A" w:rsidRDefault="0035511A" w:rsidP="0035511A">
            <w:pPr>
              <w:spacing w:after="0" w:line="240" w:lineRule="auto"/>
              <w:jc w:val="both"/>
              <w:rPr>
                <w:rFonts w:asciiTheme="majorHAnsi" w:hAnsiTheme="majorHAnsi"/>
                <w:b/>
                <w:sz w:val="32"/>
                <w:szCs w:val="32"/>
              </w:rPr>
            </w:pPr>
          </w:p>
        </w:tc>
        <w:tc>
          <w:tcPr>
            <w:tcW w:w="270" w:type="dxa"/>
            <w:tcBorders>
              <w:top w:val="nil"/>
              <w:left w:val="nil"/>
              <w:bottom w:val="nil"/>
              <w:right w:val="nil"/>
            </w:tcBorders>
          </w:tcPr>
          <w:p w:rsidR="0035511A" w:rsidRPr="0035511A" w:rsidRDefault="0035511A" w:rsidP="0035511A">
            <w:pPr>
              <w:spacing w:after="0" w:line="240" w:lineRule="auto"/>
              <w:jc w:val="both"/>
              <w:rPr>
                <w:rFonts w:asciiTheme="majorHAnsi" w:hAnsiTheme="majorHAnsi"/>
                <w:b/>
                <w:sz w:val="24"/>
                <w:szCs w:val="24"/>
              </w:rPr>
            </w:pPr>
          </w:p>
        </w:tc>
        <w:tc>
          <w:tcPr>
            <w:tcW w:w="990" w:type="dxa"/>
            <w:tcBorders>
              <w:top w:val="nil"/>
              <w:left w:val="nil"/>
              <w:bottom w:val="nil"/>
              <w:right w:val="nil"/>
            </w:tcBorders>
          </w:tcPr>
          <w:p w:rsidR="0035511A" w:rsidRPr="0035511A" w:rsidRDefault="0035511A" w:rsidP="0035511A">
            <w:pPr>
              <w:spacing w:after="0" w:line="240" w:lineRule="auto"/>
              <w:jc w:val="right"/>
              <w:rPr>
                <w:rFonts w:asciiTheme="majorHAnsi" w:hAnsiTheme="majorHAnsi"/>
                <w:b/>
                <w:sz w:val="24"/>
                <w:szCs w:val="24"/>
              </w:rPr>
            </w:pPr>
            <w:r w:rsidRPr="0035511A">
              <w:rPr>
                <w:rFonts w:asciiTheme="majorHAnsi" w:hAnsiTheme="majorHAnsi"/>
                <w:b/>
                <w:sz w:val="24"/>
                <w:szCs w:val="24"/>
              </w:rPr>
              <w:t>Date:</w:t>
            </w:r>
          </w:p>
        </w:tc>
        <w:tc>
          <w:tcPr>
            <w:tcW w:w="1170" w:type="dxa"/>
            <w:tcBorders>
              <w:left w:val="nil"/>
              <w:right w:val="nil"/>
            </w:tcBorders>
          </w:tcPr>
          <w:p w:rsidR="0035511A" w:rsidRPr="0035511A" w:rsidRDefault="0035511A" w:rsidP="0035511A">
            <w:pPr>
              <w:spacing w:after="0" w:line="240" w:lineRule="auto"/>
              <w:jc w:val="both"/>
              <w:rPr>
                <w:rFonts w:asciiTheme="majorHAnsi" w:hAnsiTheme="majorHAnsi"/>
                <w:b/>
                <w:sz w:val="24"/>
                <w:szCs w:val="24"/>
              </w:rPr>
            </w:pPr>
          </w:p>
        </w:tc>
      </w:tr>
    </w:tbl>
    <w:p w:rsidR="0035511A" w:rsidRDefault="0035511A" w:rsidP="0035511A">
      <w:pPr>
        <w:spacing w:after="0" w:line="240" w:lineRule="auto"/>
        <w:jc w:val="both"/>
      </w:pPr>
    </w:p>
    <w:p w:rsidR="0035511A" w:rsidRDefault="0035511A" w:rsidP="00DF3D4E"/>
    <w:sectPr w:rsidR="0035511A" w:rsidSect="0035511A">
      <w:footerReference w:type="default" r:id="rId7"/>
      <w:headerReference w:type="first" r:id="rId8"/>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C19" w:rsidRDefault="00C66C19" w:rsidP="00BC29F8">
      <w:pPr>
        <w:spacing w:after="0" w:line="240" w:lineRule="auto"/>
      </w:pPr>
      <w:r>
        <w:separator/>
      </w:r>
    </w:p>
  </w:endnote>
  <w:endnote w:type="continuationSeparator" w:id="0">
    <w:p w:rsidR="00C66C19" w:rsidRDefault="00C66C19" w:rsidP="00BC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8113"/>
      <w:docPartObj>
        <w:docPartGallery w:val="Page Numbers (Bottom of Page)"/>
        <w:docPartUnique/>
      </w:docPartObj>
    </w:sdtPr>
    <w:sdtEndPr/>
    <w:sdtContent>
      <w:sdt>
        <w:sdtPr>
          <w:id w:val="565050477"/>
          <w:docPartObj>
            <w:docPartGallery w:val="Page Numbers (Top of Page)"/>
            <w:docPartUnique/>
          </w:docPartObj>
        </w:sdtPr>
        <w:sdtEndPr/>
        <w:sdtContent>
          <w:p w:rsidR="00C17D5F" w:rsidRDefault="00C17D5F">
            <w:pPr>
              <w:pStyle w:val="Footer"/>
              <w:jc w:val="center"/>
            </w:pPr>
            <w:r>
              <w:t xml:space="preserve">Page </w:t>
            </w:r>
            <w:r w:rsidR="00E05B97">
              <w:rPr>
                <w:b/>
                <w:sz w:val="24"/>
                <w:szCs w:val="24"/>
              </w:rPr>
              <w:fldChar w:fldCharType="begin"/>
            </w:r>
            <w:r>
              <w:rPr>
                <w:b/>
              </w:rPr>
              <w:instrText xml:space="preserve"> PAGE </w:instrText>
            </w:r>
            <w:r w:rsidR="00E05B97">
              <w:rPr>
                <w:b/>
                <w:sz w:val="24"/>
                <w:szCs w:val="24"/>
              </w:rPr>
              <w:fldChar w:fldCharType="separate"/>
            </w:r>
            <w:r w:rsidR="00973390">
              <w:rPr>
                <w:b/>
                <w:noProof/>
              </w:rPr>
              <w:t>4</w:t>
            </w:r>
            <w:r w:rsidR="00E05B97">
              <w:rPr>
                <w:b/>
                <w:sz w:val="24"/>
                <w:szCs w:val="24"/>
              </w:rPr>
              <w:fldChar w:fldCharType="end"/>
            </w:r>
            <w:r>
              <w:t xml:space="preserve"> of </w:t>
            </w:r>
            <w:r w:rsidR="00E05B97">
              <w:rPr>
                <w:b/>
                <w:sz w:val="24"/>
                <w:szCs w:val="24"/>
              </w:rPr>
              <w:fldChar w:fldCharType="begin"/>
            </w:r>
            <w:r>
              <w:rPr>
                <w:b/>
              </w:rPr>
              <w:instrText xml:space="preserve"> NUMPAGES  </w:instrText>
            </w:r>
            <w:r w:rsidR="00E05B97">
              <w:rPr>
                <w:b/>
                <w:sz w:val="24"/>
                <w:szCs w:val="24"/>
              </w:rPr>
              <w:fldChar w:fldCharType="separate"/>
            </w:r>
            <w:r w:rsidR="00973390">
              <w:rPr>
                <w:b/>
                <w:noProof/>
              </w:rPr>
              <w:t>4</w:t>
            </w:r>
            <w:r w:rsidR="00E05B97">
              <w:rPr>
                <w:b/>
                <w:sz w:val="24"/>
                <w:szCs w:val="24"/>
              </w:rPr>
              <w:fldChar w:fldCharType="end"/>
            </w:r>
          </w:p>
        </w:sdtContent>
      </w:sdt>
    </w:sdtContent>
  </w:sdt>
  <w:p w:rsidR="00BC29F8" w:rsidRDefault="00BC2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C19" w:rsidRDefault="00C66C19" w:rsidP="00BC29F8">
      <w:pPr>
        <w:spacing w:after="0" w:line="240" w:lineRule="auto"/>
      </w:pPr>
      <w:r>
        <w:separator/>
      </w:r>
    </w:p>
  </w:footnote>
  <w:footnote w:type="continuationSeparator" w:id="0">
    <w:p w:rsidR="00C66C19" w:rsidRDefault="00C66C19" w:rsidP="00BC2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C17D5F" w:rsidRDefault="00B9459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9459E">
          <w:rPr>
            <w:rFonts w:asciiTheme="majorHAnsi" w:eastAsiaTheme="majorEastAsia" w:hAnsiTheme="majorHAnsi" w:cstheme="majorBidi"/>
            <w:sz w:val="20"/>
            <w:szCs w:val="20"/>
          </w:rPr>
          <w:t xml:space="preserve">GADSDEN COUNTY </w:t>
        </w:r>
        <w:r w:rsidR="00F86DAD">
          <w:rPr>
            <w:rFonts w:asciiTheme="majorHAnsi" w:eastAsiaTheme="majorEastAsia" w:hAnsiTheme="majorHAnsi" w:cstheme="majorBidi"/>
            <w:sz w:val="20"/>
            <w:szCs w:val="20"/>
          </w:rPr>
          <w:t>INSTRUCTIONAL EVALUATION SYSTEM FOR</w:t>
        </w:r>
        <w:r w:rsidRPr="00B9459E">
          <w:rPr>
            <w:rFonts w:asciiTheme="majorHAnsi" w:eastAsiaTheme="majorEastAsia" w:hAnsiTheme="majorHAnsi" w:cstheme="majorBidi"/>
            <w:sz w:val="20"/>
            <w:szCs w:val="20"/>
          </w:rPr>
          <w:t xml:space="preserve"> NON CLASSROOM </w:t>
        </w:r>
        <w:r w:rsidR="00F86DAD">
          <w:rPr>
            <w:rFonts w:asciiTheme="majorHAnsi" w:eastAsiaTheme="majorEastAsia" w:hAnsiTheme="majorHAnsi" w:cstheme="majorBidi"/>
            <w:sz w:val="20"/>
            <w:szCs w:val="20"/>
          </w:rPr>
          <w:t>PERSONNEL</w:t>
        </w:r>
      </w:p>
    </w:sdtContent>
  </w:sdt>
  <w:p w:rsidR="00C17D5F" w:rsidRDefault="00C17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0798"/>
    <w:multiLevelType w:val="hybridMultilevel"/>
    <w:tmpl w:val="9946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967D7"/>
    <w:multiLevelType w:val="hybridMultilevel"/>
    <w:tmpl w:val="850486BE"/>
    <w:lvl w:ilvl="0" w:tplc="124E9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45507"/>
    <w:multiLevelType w:val="multilevel"/>
    <w:tmpl w:val="5D527E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0844AD"/>
    <w:multiLevelType w:val="hybridMultilevel"/>
    <w:tmpl w:val="D9B6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24C9D"/>
    <w:multiLevelType w:val="multilevel"/>
    <w:tmpl w:val="6EB20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A6553F"/>
    <w:multiLevelType w:val="multilevel"/>
    <w:tmpl w:val="109EC2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383068"/>
    <w:multiLevelType w:val="multilevel"/>
    <w:tmpl w:val="955A2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0F759A"/>
    <w:multiLevelType w:val="multilevel"/>
    <w:tmpl w:val="D8D28D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FC4C0A"/>
    <w:multiLevelType w:val="multilevel"/>
    <w:tmpl w:val="D1600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0E6C0E"/>
    <w:multiLevelType w:val="hybridMultilevel"/>
    <w:tmpl w:val="2714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70E69"/>
    <w:multiLevelType w:val="multilevel"/>
    <w:tmpl w:val="E90AE3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8C4A45"/>
    <w:multiLevelType w:val="multilevel"/>
    <w:tmpl w:val="1A22D4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5F50FF"/>
    <w:multiLevelType w:val="hybridMultilevel"/>
    <w:tmpl w:val="027C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5"/>
  </w:num>
  <w:num w:numId="5">
    <w:abstractNumId w:val="4"/>
  </w:num>
  <w:num w:numId="6">
    <w:abstractNumId w:val="11"/>
  </w:num>
  <w:num w:numId="7">
    <w:abstractNumId w:val="2"/>
  </w:num>
  <w:num w:numId="8">
    <w:abstractNumId w:val="7"/>
  </w:num>
  <w:num w:numId="9">
    <w:abstractNumId w:val="8"/>
  </w:num>
  <w:num w:numId="10">
    <w:abstractNumId w:val="10"/>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F8"/>
    <w:rsid w:val="00220B99"/>
    <w:rsid w:val="0035511A"/>
    <w:rsid w:val="00387C74"/>
    <w:rsid w:val="004C3E72"/>
    <w:rsid w:val="00567A2E"/>
    <w:rsid w:val="005F491F"/>
    <w:rsid w:val="006D3C75"/>
    <w:rsid w:val="00730102"/>
    <w:rsid w:val="007A7110"/>
    <w:rsid w:val="007E7F01"/>
    <w:rsid w:val="008B05F5"/>
    <w:rsid w:val="0091309F"/>
    <w:rsid w:val="009664C2"/>
    <w:rsid w:val="00973390"/>
    <w:rsid w:val="009E3FBA"/>
    <w:rsid w:val="00A025DE"/>
    <w:rsid w:val="00A17533"/>
    <w:rsid w:val="00B838B6"/>
    <w:rsid w:val="00B8763F"/>
    <w:rsid w:val="00B9459E"/>
    <w:rsid w:val="00BC29F8"/>
    <w:rsid w:val="00C17D5F"/>
    <w:rsid w:val="00C66C19"/>
    <w:rsid w:val="00C72111"/>
    <w:rsid w:val="00D57144"/>
    <w:rsid w:val="00DF3D4E"/>
    <w:rsid w:val="00E05B97"/>
    <w:rsid w:val="00F83ACE"/>
    <w:rsid w:val="00F86DAD"/>
    <w:rsid w:val="00F96177"/>
    <w:rsid w:val="00FF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514C49B-BF5A-4CCF-9F1B-C3884E07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9F8"/>
    <w:rPr>
      <w:color w:val="0000FF"/>
      <w:u w:val="single"/>
    </w:rPr>
  </w:style>
  <w:style w:type="paragraph" w:styleId="ListParagraph">
    <w:name w:val="List Paragraph"/>
    <w:basedOn w:val="Normal"/>
    <w:qFormat/>
    <w:rsid w:val="00BC29F8"/>
    <w:pPr>
      <w:spacing w:line="480" w:lineRule="auto"/>
      <w:ind w:left="720"/>
    </w:pPr>
    <w:rPr>
      <w:rFonts w:cs="Calibri"/>
    </w:rPr>
  </w:style>
  <w:style w:type="paragraph" w:styleId="BalloonText">
    <w:name w:val="Balloon Text"/>
    <w:basedOn w:val="Normal"/>
    <w:link w:val="BalloonTextChar"/>
    <w:uiPriority w:val="99"/>
    <w:semiHidden/>
    <w:unhideWhenUsed/>
    <w:rsid w:val="00BC2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9F8"/>
    <w:rPr>
      <w:rFonts w:ascii="Tahoma" w:eastAsia="Calibri" w:hAnsi="Tahoma" w:cs="Tahoma"/>
      <w:sz w:val="16"/>
      <w:szCs w:val="16"/>
    </w:rPr>
  </w:style>
  <w:style w:type="paragraph" w:styleId="Header">
    <w:name w:val="header"/>
    <w:basedOn w:val="Normal"/>
    <w:link w:val="HeaderChar"/>
    <w:uiPriority w:val="99"/>
    <w:unhideWhenUsed/>
    <w:rsid w:val="00BC2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9F8"/>
    <w:rPr>
      <w:rFonts w:ascii="Calibri" w:eastAsia="Calibri" w:hAnsi="Calibri" w:cs="Times New Roman"/>
    </w:rPr>
  </w:style>
  <w:style w:type="paragraph" w:styleId="Footer">
    <w:name w:val="footer"/>
    <w:basedOn w:val="Normal"/>
    <w:link w:val="FooterChar"/>
    <w:uiPriority w:val="99"/>
    <w:unhideWhenUsed/>
    <w:rsid w:val="00BC2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9F8"/>
    <w:rPr>
      <w:rFonts w:ascii="Calibri" w:eastAsia="Calibri" w:hAnsi="Calibri" w:cs="Times New Roman"/>
    </w:rPr>
  </w:style>
  <w:style w:type="table" w:styleId="TableGrid">
    <w:name w:val="Table Grid"/>
    <w:basedOn w:val="TableNormal"/>
    <w:uiPriority w:val="59"/>
    <w:rsid w:val="0035511A"/>
    <w:pPr>
      <w:jc w:val="center"/>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12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GADSDEN COUNTY INSTRUCTIONAL EVALUATION SYSTEM FOR NON CLASSROOM PERSONNEL</vt:lpstr>
    </vt:vector>
  </TitlesOfParts>
  <Company/>
  <LinksUpToDate>false</LinksUpToDate>
  <CharactersWithSpaces>9821</CharactersWithSpaces>
  <SharedDoc>false</SharedDoc>
  <HLinks>
    <vt:vector size="12" baseType="variant">
      <vt:variant>
        <vt:i4>65648</vt:i4>
      </vt:variant>
      <vt:variant>
        <vt:i4>3</vt:i4>
      </vt:variant>
      <vt:variant>
        <vt:i4>0</vt:i4>
      </vt:variant>
      <vt:variant>
        <vt:i4>5</vt:i4>
      </vt:variant>
      <vt:variant>
        <vt:lpwstr>http://www.fldoe.org/workforce/programs/cd_guide.asp</vt:lpwstr>
      </vt:variant>
      <vt:variant>
        <vt:lpwstr/>
      </vt:variant>
      <vt:variant>
        <vt:i4>4849741</vt:i4>
      </vt:variant>
      <vt:variant>
        <vt:i4>0</vt:i4>
      </vt:variant>
      <vt:variant>
        <vt:i4>0</vt:i4>
      </vt:variant>
      <vt:variant>
        <vt:i4>5</vt:i4>
      </vt:variant>
      <vt:variant>
        <vt:lpwstr>http://www.floridaschoolleaders.org/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GADSDEN COUNTY INSTRUCTIONAL EVALUATION SYSTEM FOR NON CLASSROOM PERSONNEL</dc:title>
  <dc:subject/>
  <dc:creator>Dr. Sylvia R. Jackson;Pauline West</dc:creator>
  <cp:keywords>REVISED</cp:keywords>
  <dc:description/>
  <cp:lastModifiedBy>Nancy Sierra</cp:lastModifiedBy>
  <cp:revision>2</cp:revision>
  <cp:lastPrinted>2012-11-15T20:22:00Z</cp:lastPrinted>
  <dcterms:created xsi:type="dcterms:W3CDTF">2017-03-24T15:40:00Z</dcterms:created>
  <dcterms:modified xsi:type="dcterms:W3CDTF">2017-03-24T15:40:00Z</dcterms:modified>
</cp:coreProperties>
</file>