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Ms. Scott-5th Grade 2025-2026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24 #2 sharpened pencils (Ticonderoga brand preferred)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 packs of pencil top erasers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 pencil box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 large glue stick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composition notebook-Paper cover, not plastic please.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*Plastic will not work for our cover designs.*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 pink, green, and yellow small tip highlighter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4-5 Expo brand markers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box of colored pencils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 box of kleenex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 container of disinfectant wipes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 box of graham crackers or one box of goldfish crackers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Any old magazines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