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24DE" w:rsidRDefault="007A4D61">
      <w:pPr>
        <w:tabs>
          <w:tab w:val="right" w:pos="9365"/>
        </w:tabs>
        <w:spacing w:line="259" w:lineRule="auto"/>
        <w:ind w:left="0" w:right="0" w:firstLine="0"/>
        <w:jc w:val="left"/>
      </w:pPr>
      <w:r>
        <w:rPr>
          <w:i/>
        </w:rPr>
        <w:t>Adopted:</w:t>
      </w:r>
      <w:r>
        <w:rPr>
          <w:i/>
          <w:u w:val="single" w:color="000000"/>
        </w:rPr>
        <w:t xml:space="preserve">    2008                  </w:t>
      </w:r>
      <w:r>
        <w:rPr>
          <w:rFonts w:ascii="Arial" w:eastAsia="Arial" w:hAnsi="Arial" w:cs="Arial"/>
          <w:i/>
        </w:rPr>
        <w:t xml:space="preserve"> </w:t>
      </w:r>
      <w:r>
        <w:rPr>
          <w:rFonts w:ascii="Arial" w:eastAsia="Arial" w:hAnsi="Arial" w:cs="Arial"/>
          <w:i/>
        </w:rPr>
        <w:tab/>
      </w:r>
    </w:p>
    <w:p w:rsidR="007A4D61" w:rsidRDefault="007A4D61" w:rsidP="007A4D61">
      <w:pPr>
        <w:spacing w:after="4" w:line="238" w:lineRule="auto"/>
        <w:ind w:left="0" w:firstLine="0"/>
        <w:jc w:val="left"/>
        <w:rPr>
          <w:i/>
        </w:rPr>
      </w:pPr>
    </w:p>
    <w:p w:rsidR="00E524DE" w:rsidRDefault="007A4D61" w:rsidP="007A4D61">
      <w:pPr>
        <w:spacing w:after="4" w:line="238" w:lineRule="auto"/>
        <w:ind w:left="0" w:firstLine="0"/>
        <w:jc w:val="left"/>
      </w:pPr>
      <w:r>
        <w:rPr>
          <w:i/>
        </w:rPr>
        <w:t>Revised:</w:t>
      </w:r>
      <w:r>
        <w:rPr>
          <w:i/>
          <w:u w:val="single" w:color="000000"/>
        </w:rPr>
        <w:t xml:space="preserve">  </w:t>
      </w:r>
      <w:r w:rsidR="005E153B">
        <w:rPr>
          <w:i/>
          <w:u w:val="single" w:color="000000"/>
        </w:rPr>
        <w:t>2/27/2023</w:t>
      </w:r>
      <w:r>
        <w:rPr>
          <w:i/>
          <w:u w:val="single" w:color="000000"/>
        </w:rPr>
        <w:t xml:space="preserve">                </w:t>
      </w:r>
      <w:r>
        <w:rPr>
          <w:rFonts w:ascii="Arial" w:eastAsia="Arial" w:hAnsi="Arial" w:cs="Arial"/>
          <w:i/>
        </w:rPr>
        <w:t xml:space="preserve"> </w:t>
      </w:r>
      <w:r>
        <w:rPr>
          <w:rFonts w:ascii="Arial" w:eastAsia="Arial" w:hAnsi="Arial" w:cs="Arial"/>
          <w:i/>
        </w:rPr>
        <w:tab/>
      </w:r>
    </w:p>
    <w:p w:rsidR="00E524DE" w:rsidRDefault="007A4D61">
      <w:pPr>
        <w:spacing w:line="259" w:lineRule="auto"/>
        <w:ind w:left="0" w:right="0" w:firstLine="0"/>
        <w:jc w:val="left"/>
      </w:pPr>
      <w:r>
        <w:t xml:space="preserve"> </w:t>
      </w:r>
    </w:p>
    <w:p w:rsidR="00E524DE" w:rsidRDefault="007A4D61">
      <w:pPr>
        <w:spacing w:line="259" w:lineRule="auto"/>
        <w:ind w:left="0" w:right="0" w:firstLine="0"/>
        <w:jc w:val="left"/>
      </w:pPr>
      <w:r>
        <w:t xml:space="preserve"> </w:t>
      </w:r>
    </w:p>
    <w:p w:rsidR="00E524DE" w:rsidRDefault="007A4D61">
      <w:pPr>
        <w:pStyle w:val="Heading1"/>
        <w:tabs>
          <w:tab w:val="center" w:pos="3767"/>
        </w:tabs>
        <w:ind w:left="-15" w:firstLine="0"/>
      </w:pPr>
      <w:r>
        <w:t xml:space="preserve">608 </w:t>
      </w:r>
      <w:r>
        <w:tab/>
        <w:t>INSTRUCTIONAL SERVICES – SPECIAL EDUCATION</w:t>
      </w:r>
      <w:r>
        <w:rPr>
          <w:b w:val="0"/>
        </w:rPr>
        <w:t xml:space="preserve"> </w:t>
      </w:r>
    </w:p>
    <w:p w:rsidR="00E524DE" w:rsidRDefault="007A4D61">
      <w:pPr>
        <w:spacing w:line="259" w:lineRule="auto"/>
        <w:ind w:left="0" w:right="0" w:firstLine="0"/>
        <w:jc w:val="left"/>
      </w:pPr>
      <w:r>
        <w:t xml:space="preserve"> </w:t>
      </w:r>
    </w:p>
    <w:p w:rsidR="00E524DE" w:rsidRDefault="007A4D61">
      <w:pPr>
        <w:pStyle w:val="Heading1"/>
        <w:tabs>
          <w:tab w:val="center" w:pos="1280"/>
        </w:tabs>
        <w:ind w:left="-15" w:firstLine="0"/>
      </w:pPr>
      <w:r>
        <w:t xml:space="preserve">I. </w:t>
      </w:r>
      <w:r>
        <w:tab/>
        <w:t>PURPOSE</w:t>
      </w:r>
      <w:r>
        <w:rPr>
          <w:b w:val="0"/>
        </w:rPr>
        <w:t xml:space="preserve"> </w:t>
      </w:r>
    </w:p>
    <w:p w:rsidR="00E524DE" w:rsidRDefault="007A4D61">
      <w:pPr>
        <w:spacing w:line="259" w:lineRule="auto"/>
        <w:ind w:left="0" w:right="0" w:firstLine="0"/>
        <w:jc w:val="left"/>
      </w:pPr>
      <w:r>
        <w:t xml:space="preserve"> </w:t>
      </w:r>
      <w:r>
        <w:tab/>
      </w:r>
    </w:p>
    <w:p w:rsidR="007A4D61" w:rsidRDefault="007A4D61" w:rsidP="007A4D61">
      <w:pPr>
        <w:spacing w:line="259" w:lineRule="auto"/>
        <w:ind w:left="720" w:right="0" w:firstLine="0"/>
        <w:jc w:val="left"/>
      </w:pPr>
      <w:r>
        <w:t>The purpose of this policy is to set forth the position of the school board on the need to provide special educational services to some students in the school district.</w:t>
      </w:r>
    </w:p>
    <w:p w:rsidR="00E524DE" w:rsidRDefault="007A4D61">
      <w:pPr>
        <w:spacing w:line="259" w:lineRule="auto"/>
        <w:ind w:left="0" w:right="0" w:firstLine="0"/>
        <w:jc w:val="left"/>
      </w:pPr>
      <w:r>
        <w:t xml:space="preserve"> </w:t>
      </w:r>
    </w:p>
    <w:p w:rsidR="00E524DE" w:rsidRDefault="007A4D61">
      <w:pPr>
        <w:pStyle w:val="Heading1"/>
        <w:tabs>
          <w:tab w:val="center" w:pos="2790"/>
        </w:tabs>
        <w:ind w:left="-15" w:firstLine="0"/>
      </w:pPr>
      <w:r>
        <w:t xml:space="preserve">II. </w:t>
      </w:r>
      <w:r>
        <w:tab/>
        <w:t>GENERAL STATEMENT OF POLICY</w:t>
      </w:r>
      <w:r>
        <w:rPr>
          <w:b w:val="0"/>
        </w:rPr>
        <w:t xml:space="preserve"> </w:t>
      </w:r>
    </w:p>
    <w:p w:rsidR="00E524DE" w:rsidRDefault="007A4D61">
      <w:pPr>
        <w:spacing w:line="259" w:lineRule="auto"/>
        <w:ind w:left="0" w:right="0" w:firstLine="0"/>
        <w:jc w:val="left"/>
      </w:pPr>
      <w:r>
        <w:t xml:space="preserve"> </w:t>
      </w:r>
    </w:p>
    <w:p w:rsidR="00E524DE" w:rsidRDefault="007A4D61">
      <w:pPr>
        <w:ind w:left="705" w:right="0" w:firstLine="0"/>
      </w:pPr>
      <w:r>
        <w:t xml:space="preserve">The school board recognizes that some students need special education and further recognizes the importance of providing a free appropriate public education and delivery system for students in need of special education. </w:t>
      </w:r>
    </w:p>
    <w:p w:rsidR="00E524DE" w:rsidRDefault="007A4D61">
      <w:pPr>
        <w:spacing w:line="259" w:lineRule="auto"/>
        <w:ind w:left="0" w:right="0" w:firstLine="0"/>
        <w:jc w:val="left"/>
      </w:pPr>
      <w:r>
        <w:t xml:space="preserve"> </w:t>
      </w:r>
    </w:p>
    <w:p w:rsidR="00E524DE" w:rsidRDefault="007A4D61">
      <w:pPr>
        <w:pStyle w:val="Heading1"/>
        <w:tabs>
          <w:tab w:val="center" w:pos="1848"/>
        </w:tabs>
        <w:ind w:left="-15" w:firstLine="0"/>
      </w:pPr>
      <w:r>
        <w:t xml:space="preserve">III. </w:t>
      </w:r>
      <w:r>
        <w:tab/>
        <w:t>RESPONSIBILITIES</w:t>
      </w:r>
      <w:r>
        <w:rPr>
          <w:b w:val="0"/>
        </w:rPr>
        <w:t xml:space="preserve"> </w:t>
      </w:r>
    </w:p>
    <w:p w:rsidR="00E524DE" w:rsidRDefault="007A4D61">
      <w:pPr>
        <w:spacing w:line="259" w:lineRule="auto"/>
        <w:ind w:left="0" w:right="0" w:firstLine="0"/>
        <w:jc w:val="left"/>
      </w:pPr>
      <w:r>
        <w:t xml:space="preserve"> </w:t>
      </w:r>
    </w:p>
    <w:p w:rsidR="00E524DE" w:rsidRDefault="007A4D61">
      <w:pPr>
        <w:numPr>
          <w:ilvl w:val="0"/>
          <w:numId w:val="1"/>
        </w:numPr>
        <w:ind w:right="0" w:hanging="720"/>
      </w:pPr>
      <w:r>
        <w:t xml:space="preserve">The school board accepts its responsibility to identify, evaluate, and provide special education and related services for disabled children who are properly the responsibility of the school district and who meet the criteria to qualify for special education and related services as set forth in Minnesota and federal law. </w:t>
      </w:r>
    </w:p>
    <w:p w:rsidR="00E524DE" w:rsidRDefault="007A4D61">
      <w:pPr>
        <w:spacing w:line="259" w:lineRule="auto"/>
        <w:ind w:left="0" w:right="0" w:firstLine="0"/>
        <w:jc w:val="left"/>
      </w:pPr>
      <w:r>
        <w:t xml:space="preserve"> </w:t>
      </w:r>
    </w:p>
    <w:p w:rsidR="00E524DE" w:rsidRDefault="007A4D61">
      <w:pPr>
        <w:numPr>
          <w:ilvl w:val="0"/>
          <w:numId w:val="1"/>
        </w:numPr>
        <w:ind w:right="0" w:hanging="720"/>
      </w:pPr>
      <w:r>
        <w:t xml:space="preserve">The school district shall ensure that all qualified disabled children are provided special education and related </w:t>
      </w:r>
      <w:proofErr w:type="gramStart"/>
      <w:r>
        <w:t>services which</w:t>
      </w:r>
      <w:proofErr w:type="gramEnd"/>
      <w:r>
        <w:t xml:space="preserve"> are appropriate to their educational needs. </w:t>
      </w:r>
    </w:p>
    <w:p w:rsidR="00E524DE" w:rsidRDefault="007A4D61">
      <w:pPr>
        <w:spacing w:line="259" w:lineRule="auto"/>
        <w:ind w:left="0" w:right="0" w:firstLine="0"/>
        <w:jc w:val="left"/>
      </w:pPr>
      <w:r>
        <w:t xml:space="preserve"> </w:t>
      </w:r>
    </w:p>
    <w:p w:rsidR="00E524DE" w:rsidRDefault="007A4D61">
      <w:pPr>
        <w:numPr>
          <w:ilvl w:val="0"/>
          <w:numId w:val="1"/>
        </w:numPr>
        <w:ind w:right="0" w:hanging="720"/>
      </w:pPr>
      <w:r>
        <w:t xml:space="preserve">When such services require or result from interagency cooperation, the school district shall participate in such interagency activities in compliance with applicable federal and state law. </w:t>
      </w:r>
    </w:p>
    <w:p w:rsidR="00E524DE" w:rsidRDefault="007A4D61">
      <w:pPr>
        <w:spacing w:line="259" w:lineRule="auto"/>
        <w:ind w:left="0" w:right="0" w:firstLine="0"/>
        <w:jc w:val="left"/>
      </w:pPr>
      <w:r>
        <w:t xml:space="preserve"> </w:t>
      </w:r>
    </w:p>
    <w:tbl>
      <w:tblPr>
        <w:tblStyle w:val="TableGrid"/>
        <w:tblW w:w="9420" w:type="dxa"/>
        <w:tblInd w:w="0" w:type="dxa"/>
        <w:tblLook w:val="04A0" w:firstRow="1" w:lastRow="0" w:firstColumn="1" w:lastColumn="0" w:noHBand="0" w:noVBand="1"/>
      </w:tblPr>
      <w:tblGrid>
        <w:gridCol w:w="2160"/>
        <w:gridCol w:w="7260"/>
      </w:tblGrid>
      <w:tr w:rsidR="00E524DE">
        <w:trPr>
          <w:trHeight w:val="2888"/>
        </w:trPr>
        <w:tc>
          <w:tcPr>
            <w:tcW w:w="2160" w:type="dxa"/>
            <w:tcBorders>
              <w:top w:val="nil"/>
              <w:left w:val="nil"/>
              <w:bottom w:val="nil"/>
              <w:right w:val="nil"/>
            </w:tcBorders>
          </w:tcPr>
          <w:p w:rsidR="00E524DE" w:rsidRDefault="007A4D61">
            <w:pPr>
              <w:spacing w:after="1356" w:line="259" w:lineRule="auto"/>
              <w:ind w:left="0" w:right="0" w:firstLine="0"/>
              <w:jc w:val="left"/>
            </w:pPr>
            <w:r>
              <w:t xml:space="preserve"> </w:t>
            </w:r>
            <w:r>
              <w:rPr>
                <w:b/>
                <w:i/>
              </w:rPr>
              <w:t>Legal References:</w:t>
            </w:r>
            <w:r>
              <w:t xml:space="preserve"> </w:t>
            </w:r>
          </w:p>
          <w:p w:rsidR="00E524DE" w:rsidRDefault="007A4D61">
            <w:pPr>
              <w:spacing w:line="259" w:lineRule="auto"/>
              <w:ind w:left="0" w:right="0" w:firstLine="0"/>
              <w:jc w:val="left"/>
            </w:pPr>
            <w:r>
              <w:t xml:space="preserve"> </w:t>
            </w:r>
          </w:p>
          <w:p w:rsidR="005E153B" w:rsidRDefault="005E153B">
            <w:pPr>
              <w:spacing w:line="259" w:lineRule="auto"/>
              <w:ind w:left="0" w:right="0" w:firstLine="0"/>
              <w:jc w:val="left"/>
              <w:rPr>
                <w:b/>
                <w:i/>
              </w:rPr>
            </w:pPr>
          </w:p>
          <w:p w:rsidR="00E524DE" w:rsidRDefault="007A4D61">
            <w:pPr>
              <w:spacing w:line="259" w:lineRule="auto"/>
              <w:ind w:left="0" w:right="0" w:firstLine="0"/>
              <w:jc w:val="left"/>
            </w:pPr>
            <w:r>
              <w:rPr>
                <w:b/>
                <w:i/>
              </w:rPr>
              <w:t>Cross References:</w:t>
            </w:r>
            <w:r>
              <w:t xml:space="preserve"> </w:t>
            </w:r>
          </w:p>
        </w:tc>
        <w:tc>
          <w:tcPr>
            <w:tcW w:w="7260" w:type="dxa"/>
            <w:tcBorders>
              <w:top w:val="nil"/>
              <w:left w:val="nil"/>
              <w:bottom w:val="nil"/>
              <w:right w:val="nil"/>
            </w:tcBorders>
          </w:tcPr>
          <w:p w:rsidR="005E153B" w:rsidRPr="00483AC7" w:rsidRDefault="005E153B" w:rsidP="005E15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rPr>
                <w:rFonts w:ascii="Verdana" w:hAnsi="Verdana"/>
                <w:sz w:val="18"/>
                <w:szCs w:val="18"/>
              </w:rPr>
            </w:pPr>
            <w:r w:rsidRPr="00483AC7">
              <w:rPr>
                <w:rFonts w:ascii="Verdana" w:hAnsi="Verdana"/>
                <w:sz w:val="18"/>
                <w:szCs w:val="18"/>
              </w:rPr>
              <w:t>Minn. Stat. § 124D.03 (Enrollment Options Program)</w:t>
            </w:r>
          </w:p>
          <w:p w:rsidR="005E153B" w:rsidRPr="00483AC7" w:rsidRDefault="005E153B" w:rsidP="005E15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0" w:firstLine="0"/>
              <w:rPr>
                <w:rFonts w:ascii="Verdana" w:hAnsi="Verdana"/>
                <w:sz w:val="18"/>
                <w:szCs w:val="18"/>
              </w:rPr>
            </w:pPr>
            <w:r w:rsidRPr="00483AC7">
              <w:rPr>
                <w:rFonts w:ascii="Verdana" w:hAnsi="Verdana"/>
                <w:sz w:val="18"/>
                <w:szCs w:val="18"/>
              </w:rPr>
              <w:t>Minn. Stat. § 125A.02 (Child with a Disability</w:t>
            </w:r>
            <w:r>
              <w:rPr>
                <w:rFonts w:ascii="Verdana" w:hAnsi="Verdana"/>
                <w:sz w:val="18"/>
                <w:szCs w:val="18"/>
              </w:rPr>
              <w:t xml:space="preserve"> Defined</w:t>
            </w:r>
            <w:r w:rsidRPr="00483AC7">
              <w:rPr>
                <w:rFonts w:ascii="Verdana" w:hAnsi="Verdana"/>
                <w:sz w:val="18"/>
                <w:szCs w:val="18"/>
              </w:rPr>
              <w:t>)</w:t>
            </w:r>
          </w:p>
          <w:p w:rsidR="005E153B" w:rsidRDefault="005E153B" w:rsidP="005E15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0" w:firstLine="0"/>
              <w:rPr>
                <w:rFonts w:ascii="Verdana" w:hAnsi="Verdana"/>
                <w:sz w:val="18"/>
                <w:szCs w:val="18"/>
              </w:rPr>
            </w:pPr>
            <w:r w:rsidRPr="00483AC7">
              <w:rPr>
                <w:rFonts w:ascii="Verdana" w:hAnsi="Verdana"/>
                <w:sz w:val="18"/>
                <w:szCs w:val="18"/>
              </w:rPr>
              <w:t xml:space="preserve">Minn. Stat. § 125A.027 </w:t>
            </w:r>
            <w:r>
              <w:rPr>
                <w:rFonts w:ascii="Verdana" w:hAnsi="Verdana"/>
                <w:sz w:val="18"/>
                <w:szCs w:val="18"/>
              </w:rPr>
              <w:t>(Rulemaking)</w:t>
            </w:r>
          </w:p>
          <w:p w:rsidR="005E153B" w:rsidRDefault="005E153B" w:rsidP="005E15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0" w:firstLine="0"/>
              <w:rPr>
                <w:rFonts w:ascii="Verdana" w:hAnsi="Verdana"/>
                <w:sz w:val="18"/>
                <w:szCs w:val="18"/>
              </w:rPr>
            </w:pPr>
            <w:r w:rsidRPr="00483AC7">
              <w:rPr>
                <w:rFonts w:ascii="Verdana" w:hAnsi="Verdana"/>
                <w:sz w:val="18"/>
                <w:szCs w:val="18"/>
              </w:rPr>
              <w:t>Minn. Stat. § 125A.03</w:t>
            </w:r>
            <w:r>
              <w:rPr>
                <w:rFonts w:ascii="Verdana" w:hAnsi="Verdana"/>
                <w:sz w:val="18"/>
                <w:szCs w:val="18"/>
              </w:rPr>
              <w:t xml:space="preserve"> (Special Instruction for Children with a Disability)</w:t>
            </w:r>
            <w:r w:rsidRPr="00483AC7">
              <w:rPr>
                <w:rFonts w:ascii="Verdana" w:hAnsi="Verdana"/>
                <w:sz w:val="18"/>
                <w:szCs w:val="18"/>
              </w:rPr>
              <w:t xml:space="preserve"> </w:t>
            </w:r>
          </w:p>
          <w:p w:rsidR="005E153B" w:rsidRDefault="005E153B" w:rsidP="005E15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0" w:firstLine="0"/>
              <w:rPr>
                <w:rFonts w:ascii="Verdana" w:hAnsi="Verdana"/>
                <w:sz w:val="18"/>
                <w:szCs w:val="18"/>
              </w:rPr>
            </w:pPr>
            <w:r w:rsidRPr="00483AC7">
              <w:rPr>
                <w:rFonts w:ascii="Verdana" w:hAnsi="Verdana"/>
                <w:sz w:val="18"/>
                <w:szCs w:val="18"/>
              </w:rPr>
              <w:t xml:space="preserve">Minn. Stat. § 125A.08 </w:t>
            </w:r>
            <w:r>
              <w:rPr>
                <w:rFonts w:ascii="Verdana" w:hAnsi="Verdana"/>
                <w:sz w:val="18"/>
                <w:szCs w:val="18"/>
              </w:rPr>
              <w:t>(Individualized Education Programs)</w:t>
            </w:r>
          </w:p>
          <w:p w:rsidR="005E153B" w:rsidRDefault="005E153B" w:rsidP="005E15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0" w:firstLine="0"/>
              <w:rPr>
                <w:rFonts w:ascii="Verdana" w:hAnsi="Verdana"/>
                <w:sz w:val="18"/>
                <w:szCs w:val="18"/>
              </w:rPr>
            </w:pPr>
            <w:r w:rsidRPr="00483AC7">
              <w:rPr>
                <w:rFonts w:ascii="Verdana" w:hAnsi="Verdana"/>
                <w:sz w:val="18"/>
                <w:szCs w:val="18"/>
              </w:rPr>
              <w:t>Minn. Stat. § 125A.15</w:t>
            </w:r>
            <w:r>
              <w:rPr>
                <w:rFonts w:ascii="Verdana" w:hAnsi="Verdana"/>
                <w:sz w:val="18"/>
                <w:szCs w:val="18"/>
              </w:rPr>
              <w:t xml:space="preserve"> (Placement in Another District; Responsibility)</w:t>
            </w:r>
            <w:r w:rsidRPr="00483AC7">
              <w:rPr>
                <w:rFonts w:ascii="Verdana" w:hAnsi="Verdana"/>
                <w:sz w:val="18"/>
                <w:szCs w:val="18"/>
              </w:rPr>
              <w:t xml:space="preserve"> </w:t>
            </w:r>
          </w:p>
          <w:p w:rsidR="005E153B" w:rsidRPr="00483AC7" w:rsidRDefault="005E153B" w:rsidP="005E153B">
            <w:pPr>
              <w:tabs>
                <w:tab w:val="left" w:pos="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rPr>
                <w:rFonts w:ascii="Verdana" w:hAnsi="Verdana"/>
                <w:sz w:val="18"/>
                <w:szCs w:val="18"/>
              </w:rPr>
            </w:pPr>
            <w:r w:rsidRPr="00483AC7">
              <w:rPr>
                <w:rFonts w:ascii="Verdana" w:hAnsi="Verdana"/>
                <w:sz w:val="18"/>
                <w:szCs w:val="18"/>
              </w:rPr>
              <w:t>Minn. Stat. § 125A.29 (</w:t>
            </w:r>
            <w:r>
              <w:rPr>
                <w:rFonts w:ascii="Verdana" w:hAnsi="Verdana"/>
                <w:sz w:val="18"/>
                <w:szCs w:val="18"/>
              </w:rPr>
              <w:t>Responsibilities of County Boards and School Boards)</w:t>
            </w:r>
            <w:r w:rsidRPr="00483AC7">
              <w:rPr>
                <w:rFonts w:ascii="Verdana" w:hAnsi="Verdana"/>
                <w:sz w:val="18"/>
                <w:szCs w:val="18"/>
              </w:rPr>
              <w:t>)</w:t>
            </w:r>
          </w:p>
          <w:p w:rsidR="005E153B" w:rsidRPr="00483AC7" w:rsidRDefault="005E153B" w:rsidP="005E15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0" w:firstLine="0"/>
              <w:rPr>
                <w:rFonts w:ascii="Verdana" w:hAnsi="Verdana"/>
                <w:sz w:val="18"/>
                <w:szCs w:val="18"/>
              </w:rPr>
            </w:pPr>
            <w:r w:rsidRPr="00483AC7">
              <w:rPr>
                <w:rFonts w:ascii="Verdana" w:hAnsi="Verdana"/>
                <w:sz w:val="18"/>
                <w:szCs w:val="18"/>
              </w:rPr>
              <w:t xml:space="preserve">20 U.S.C. § 1400 </w:t>
            </w:r>
            <w:r w:rsidRPr="00483AC7">
              <w:rPr>
                <w:rFonts w:ascii="Verdana" w:hAnsi="Verdana"/>
                <w:i/>
                <w:iCs/>
                <w:sz w:val="18"/>
                <w:szCs w:val="18"/>
              </w:rPr>
              <w:t>et seq.</w:t>
            </w:r>
            <w:r w:rsidRPr="00483AC7">
              <w:rPr>
                <w:rFonts w:ascii="Verdana" w:hAnsi="Verdana"/>
                <w:sz w:val="18"/>
                <w:szCs w:val="18"/>
              </w:rPr>
              <w:t xml:space="preserve"> (Individuals with Disabilities Education Act)</w:t>
            </w:r>
          </w:p>
          <w:p w:rsidR="00E524DE" w:rsidRDefault="00E524DE">
            <w:pPr>
              <w:spacing w:line="259" w:lineRule="auto"/>
              <w:ind w:left="0" w:right="0" w:firstLine="0"/>
              <w:jc w:val="left"/>
            </w:pPr>
          </w:p>
          <w:p w:rsidR="005E153B" w:rsidRPr="00483AC7" w:rsidRDefault="005E153B" w:rsidP="005E15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2160"/>
              <w:rPr>
                <w:rFonts w:ascii="Verdana" w:hAnsi="Verdana"/>
                <w:sz w:val="18"/>
                <w:szCs w:val="18"/>
              </w:rPr>
            </w:pPr>
            <w:r w:rsidRPr="00483AC7">
              <w:rPr>
                <w:rFonts w:ascii="Verdana" w:hAnsi="Verdana"/>
                <w:iCs/>
                <w:sz w:val="18"/>
                <w:szCs w:val="18"/>
              </w:rPr>
              <w:t xml:space="preserve">MSBA/MASA Model </w:t>
            </w:r>
            <w:r w:rsidRPr="00483AC7">
              <w:rPr>
                <w:rFonts w:ascii="Verdana" w:hAnsi="Verdana"/>
                <w:sz w:val="18"/>
                <w:szCs w:val="18"/>
              </w:rPr>
              <w:t>Policy 402 (Disability Nondiscrimination Policy)</w:t>
            </w:r>
          </w:p>
          <w:p w:rsidR="005E153B" w:rsidRPr="00483AC7" w:rsidRDefault="005E153B" w:rsidP="005E153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0" w:firstLine="0"/>
              <w:rPr>
                <w:rFonts w:ascii="Verdana" w:hAnsi="Verdana"/>
                <w:sz w:val="18"/>
                <w:szCs w:val="18"/>
              </w:rPr>
            </w:pPr>
            <w:r w:rsidRPr="00483AC7">
              <w:rPr>
                <w:rFonts w:ascii="Verdana" w:hAnsi="Verdana"/>
                <w:iCs/>
                <w:sz w:val="18"/>
                <w:szCs w:val="18"/>
              </w:rPr>
              <w:t>MSBA/MASA Model</w:t>
            </w:r>
            <w:r w:rsidRPr="00483AC7">
              <w:rPr>
                <w:rFonts w:ascii="Verdana" w:hAnsi="Verdana"/>
                <w:i/>
                <w:iCs/>
                <w:sz w:val="18"/>
                <w:szCs w:val="18"/>
              </w:rPr>
              <w:t xml:space="preserve"> </w:t>
            </w:r>
            <w:r w:rsidRPr="00483AC7">
              <w:rPr>
                <w:rFonts w:ascii="Verdana" w:hAnsi="Verdana"/>
                <w:sz w:val="18"/>
                <w:szCs w:val="18"/>
              </w:rPr>
              <w:t>Policy 508 (Extended School Year for Certain Students with Individualized Education Programs)</w:t>
            </w:r>
          </w:p>
          <w:p w:rsidR="005E153B" w:rsidRPr="00483AC7" w:rsidRDefault="005E153B" w:rsidP="005E15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0" w:firstLine="0"/>
              <w:rPr>
                <w:rFonts w:ascii="Verdana" w:hAnsi="Verdana"/>
                <w:sz w:val="18"/>
                <w:szCs w:val="18"/>
              </w:rPr>
            </w:pPr>
            <w:r w:rsidRPr="00483AC7">
              <w:rPr>
                <w:rFonts w:ascii="Verdana" w:hAnsi="Verdana"/>
                <w:iCs/>
                <w:sz w:val="18"/>
                <w:szCs w:val="18"/>
              </w:rPr>
              <w:t>MSBA/MASA Model</w:t>
            </w:r>
            <w:r w:rsidRPr="00483AC7">
              <w:rPr>
                <w:rFonts w:ascii="Verdana" w:hAnsi="Verdana"/>
                <w:i/>
                <w:iCs/>
                <w:sz w:val="18"/>
                <w:szCs w:val="18"/>
              </w:rPr>
              <w:t xml:space="preserve"> </w:t>
            </w:r>
            <w:r w:rsidRPr="00483AC7">
              <w:rPr>
                <w:rFonts w:ascii="Verdana" w:hAnsi="Verdana"/>
                <w:sz w:val="18"/>
                <w:szCs w:val="18"/>
              </w:rPr>
              <w:t>Policy 509 (Enrollment of Nonresident Students)</w:t>
            </w:r>
          </w:p>
          <w:p w:rsidR="005E153B" w:rsidRPr="00483AC7" w:rsidRDefault="005E153B" w:rsidP="005E15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0" w:firstLine="0"/>
              <w:rPr>
                <w:rFonts w:ascii="Verdana" w:hAnsi="Verdana"/>
                <w:sz w:val="18"/>
                <w:szCs w:val="18"/>
              </w:rPr>
            </w:pPr>
            <w:r w:rsidRPr="00483AC7">
              <w:rPr>
                <w:rFonts w:ascii="Verdana" w:hAnsi="Verdana"/>
                <w:iCs/>
                <w:sz w:val="18"/>
                <w:szCs w:val="18"/>
              </w:rPr>
              <w:t>MSBA/MASA Model</w:t>
            </w:r>
            <w:r w:rsidRPr="00483AC7">
              <w:rPr>
                <w:rFonts w:ascii="Verdana" w:hAnsi="Verdana"/>
                <w:i/>
                <w:iCs/>
                <w:sz w:val="18"/>
                <w:szCs w:val="18"/>
              </w:rPr>
              <w:t xml:space="preserve"> </w:t>
            </w:r>
            <w:r w:rsidRPr="00483AC7">
              <w:rPr>
                <w:rFonts w:ascii="Verdana" w:hAnsi="Verdana"/>
                <w:sz w:val="18"/>
                <w:szCs w:val="18"/>
              </w:rPr>
              <w:t>Policy 521 (Student Disability Nondiscrimination)</w:t>
            </w:r>
          </w:p>
          <w:p w:rsidR="005E153B" w:rsidRDefault="005E153B">
            <w:pPr>
              <w:spacing w:line="259" w:lineRule="auto"/>
              <w:ind w:left="0" w:right="0" w:firstLine="0"/>
              <w:jc w:val="left"/>
            </w:pPr>
          </w:p>
          <w:p w:rsidR="005E153B" w:rsidRDefault="005E153B">
            <w:pPr>
              <w:spacing w:line="259" w:lineRule="auto"/>
              <w:ind w:left="0" w:right="0" w:firstLine="0"/>
              <w:jc w:val="left"/>
            </w:pPr>
          </w:p>
        </w:tc>
      </w:tr>
    </w:tbl>
    <w:p w:rsidR="00E524DE" w:rsidRDefault="00E524DE" w:rsidP="007A4D61">
      <w:pPr>
        <w:spacing w:after="12859" w:line="265" w:lineRule="auto"/>
        <w:ind w:left="10" w:right="150" w:hanging="10"/>
        <w:jc w:val="right"/>
      </w:pPr>
      <w:bookmarkStart w:id="0" w:name="_GoBack"/>
      <w:bookmarkEnd w:id="0"/>
    </w:p>
    <w:p w:rsidR="005E153B" w:rsidRDefault="005E153B" w:rsidP="007A4D61">
      <w:pPr>
        <w:spacing w:after="12859" w:line="265" w:lineRule="auto"/>
        <w:ind w:left="10" w:right="150" w:hanging="10"/>
        <w:jc w:val="right"/>
      </w:pPr>
    </w:p>
    <w:sectPr w:rsidR="005E153B">
      <w:pgSz w:w="12240" w:h="15840"/>
      <w:pgMar w:top="1411" w:right="1435" w:bottom="658"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F37947"/>
    <w:multiLevelType w:val="hybridMultilevel"/>
    <w:tmpl w:val="DEEEE652"/>
    <w:lvl w:ilvl="0" w:tplc="7E723C36">
      <w:start w:val="1"/>
      <w:numFmt w:val="upperLetter"/>
      <w:lvlText w:val="%1."/>
      <w:lvlJc w:val="left"/>
      <w:pPr>
        <w:ind w:left="1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2586B7E">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AECEBC6">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D62814A">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2F663C6">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C1A0E80">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EAEBACA">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A18F3B6">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CEC752C">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4DE"/>
    <w:rsid w:val="005E153B"/>
    <w:rsid w:val="00624EF3"/>
    <w:rsid w:val="007A4D61"/>
    <w:rsid w:val="00E524DE"/>
    <w:rsid w:val="00F71A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FB6B2"/>
  <w15:docId w15:val="{3ED5D76E-9968-4524-8DFB-75CD2B8B7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9" w:lineRule="auto"/>
      <w:ind w:left="1450" w:right="5" w:hanging="73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0"/>
      <w:ind w:left="10" w:hanging="10"/>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E427D5-F6BA-4219-A955-1B50DABE6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320</Words>
  <Characters>1824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Adopted:</vt:lpstr>
    </vt:vector>
  </TitlesOfParts>
  <Company/>
  <LinksUpToDate>false</LinksUpToDate>
  <CharactersWithSpaces>2140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Adopted:</dc:title>
  <dc:subject/>
  <dc:creator>shonetschlager</dc:creator>
  <cp:keywords/>
  <cp:lastModifiedBy>Rachel Haar</cp:lastModifiedBy>
  <cp:revision>2</cp:revision>
  <dcterms:created xsi:type="dcterms:W3CDTF">2023-07-20T14:19:00Z</dcterms:created>
  <dcterms:modified xsi:type="dcterms:W3CDTF">2023-07-20T14:19:00Z</dcterms:modified>
</cp:coreProperties>
</file>