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216B9F4" w:rsidR="00664D89" w:rsidRPr="00DE2A17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DE2A17" w:rsidRPr="00DE2A17">
        <w:rPr>
          <w:rFonts w:ascii="Times New Roman" w:hAnsi="Times New Roman"/>
          <w:b/>
          <w:bCs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="00DE2A17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Date: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1C1208" w:rsidRPr="00DE2A17">
        <w:rPr>
          <w:rFonts w:ascii="Times New Roman" w:hAnsi="Times New Roman"/>
          <w:b/>
          <w:bCs/>
          <w:noProof/>
          <w:sz w:val="20"/>
          <w:u w:val="single"/>
        </w:rPr>
        <w:t xml:space="preserve">December </w:t>
      </w:r>
      <w:r w:rsidR="00E52075" w:rsidRPr="00DE2A17">
        <w:rPr>
          <w:rFonts w:ascii="Times New Roman" w:hAnsi="Times New Roman"/>
          <w:b/>
          <w:bCs/>
          <w:noProof/>
          <w:sz w:val="20"/>
          <w:u w:val="single"/>
        </w:rPr>
        <w:t>16-20</w:t>
      </w:r>
      <w:r w:rsidR="00184AB5" w:rsidRPr="00DE2A17">
        <w:rPr>
          <w:rFonts w:ascii="Times New Roman" w:hAnsi="Times New Roman"/>
          <w:b/>
          <w:bCs/>
          <w:noProof/>
          <w:sz w:val="20"/>
          <w:u w:val="single"/>
        </w:rPr>
        <w:t>,</w:t>
      </w:r>
      <w:r w:rsidR="001C1208" w:rsidRPr="00DE2A17">
        <w:rPr>
          <w:rFonts w:ascii="Times New Roman" w:hAnsi="Times New Roman"/>
          <w:b/>
          <w:bCs/>
          <w:noProof/>
          <w:sz w:val="20"/>
          <w:u w:val="single"/>
        </w:rPr>
        <w:t xml:space="preserve"> </w:t>
      </w:r>
      <w:r w:rsidR="00184AB5" w:rsidRPr="00DE2A17">
        <w:rPr>
          <w:rFonts w:ascii="Times New Roman" w:hAnsi="Times New Roman"/>
          <w:b/>
          <w:bCs/>
          <w:noProof/>
          <w:sz w:val="20"/>
          <w:u w:val="single"/>
        </w:rPr>
        <w:t xml:space="preserve"> </w:t>
      </w:r>
      <w:r w:rsidR="00F661E0" w:rsidRPr="00DE2A17">
        <w:rPr>
          <w:rFonts w:ascii="Times New Roman" w:hAnsi="Times New Roman"/>
          <w:b/>
          <w:bCs/>
          <w:noProof/>
          <w:sz w:val="20"/>
          <w:u w:val="single"/>
        </w:rPr>
        <w:t>202</w:t>
      </w:r>
      <w:r w:rsidR="00E52075" w:rsidRPr="00DE2A17">
        <w:rPr>
          <w:rFonts w:ascii="Times New Roman" w:hAnsi="Times New Roman"/>
          <w:b/>
          <w:bCs/>
          <w:noProof/>
          <w:sz w:val="20"/>
          <w:u w:val="single"/>
        </w:rPr>
        <w:t>4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DE2A17">
        <w:rPr>
          <w:rFonts w:ascii="Times New Roman" w:hAnsi="Times New Roman"/>
          <w:b/>
          <w:bCs/>
          <w:noProof/>
          <w:sz w:val="20"/>
          <w:u w:val="single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="00DE2A17">
        <w:rPr>
          <w:rFonts w:ascii="Times New Roman" w:hAnsi="Times New Roman"/>
          <w:sz w:val="20"/>
        </w:rPr>
        <w:t xml:space="preserve">Period:  </w:t>
      </w:r>
      <w:r w:rsidR="00DE2A17" w:rsidRPr="00DE2A17">
        <w:rPr>
          <w:rFonts w:ascii="Times New Roman" w:hAnsi="Times New Roman"/>
          <w:b/>
          <w:bCs/>
          <w:sz w:val="20"/>
          <w:u w:val="single"/>
        </w:rPr>
        <w:t>Sixth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BEF92CE" w14:textId="18D15D80" w:rsidR="00656672" w:rsidRPr="006D0437" w:rsidRDefault="0059002E" w:rsidP="00656672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heart</w:t>
                            </w:r>
                            <w:r w:rsidR="00656672" w:rsidRPr="006D0437">
                              <w:rPr>
                                <w:rFonts w:ascii="Amasis MT Pro Black" w:hAnsi="Amasis MT Pro Black"/>
                              </w:rPr>
                              <w:t xml:space="preserve">  </w:t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 w:rsidRPr="006D0437">
                              <w:rPr>
                                <w:rFonts w:ascii="Amasis MT Pro Black" w:hAnsi="Amasis MT Pro Black"/>
                              </w:rPr>
                              <w:t xml:space="preserve">               </w:t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</w:p>
                          <w:p w14:paraId="50DFA7DA" w14:textId="6BC54C02" w:rsidR="00656672" w:rsidRPr="00703818" w:rsidRDefault="0059002E" w:rsidP="00656672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muscle</w:t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F3726D2" w14:textId="4C393C40" w:rsidR="00656672" w:rsidRPr="00703818" w:rsidRDefault="0059002E" w:rsidP="00656672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arteries</w:t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0F1911AA" w:rsidR="00272079" w:rsidRPr="00703818" w:rsidRDefault="0059002E" w:rsidP="00656672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vessels</w:t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04F3E6F2" w:rsidR="007C022D" w:rsidRDefault="00DD2A3F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BEF92CE" w14:textId="18D15D80" w:rsidR="00656672" w:rsidRPr="006D0437" w:rsidRDefault="0059002E" w:rsidP="00656672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heart</w:t>
                      </w:r>
                      <w:r w:rsidR="00656672" w:rsidRPr="006D0437">
                        <w:rPr>
                          <w:rFonts w:ascii="Amasis MT Pro Black" w:hAnsi="Amasis MT Pro Black"/>
                        </w:rPr>
                        <w:t xml:space="preserve">  </w:t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 w:rsidRPr="006D0437">
                        <w:rPr>
                          <w:rFonts w:ascii="Amasis MT Pro Black" w:hAnsi="Amasis MT Pro Black"/>
                        </w:rPr>
                        <w:t xml:space="preserve">               </w:t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</w:p>
                    <w:p w14:paraId="50DFA7DA" w14:textId="6BC54C02" w:rsidR="00656672" w:rsidRPr="00703818" w:rsidRDefault="0059002E" w:rsidP="00656672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muscle</w:t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2F3726D2" w14:textId="4C393C40" w:rsidR="00656672" w:rsidRPr="00703818" w:rsidRDefault="0059002E" w:rsidP="00656672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>arteries</w:t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0F1911AA" w:rsidR="00272079" w:rsidRPr="00703818" w:rsidRDefault="0059002E" w:rsidP="00656672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vessels</w:t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04F3E6F2" w:rsidR="007C022D" w:rsidRDefault="00DD2A3F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0AA8CE60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 w:rsidR="00656672">
              <w:rPr>
                <w:sz w:val="16"/>
                <w:szCs w:val="16"/>
              </w:rPr>
              <w:t xml:space="preserve"> </w:t>
            </w:r>
            <w:r w:rsidR="0059002E">
              <w:rPr>
                <w:sz w:val="16"/>
                <w:szCs w:val="16"/>
              </w:rPr>
              <w:t>your brain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previous lessons. Students will </w:t>
            </w:r>
            <w:r w:rsidR="009E5D13">
              <w:rPr>
                <w:sz w:val="16"/>
                <w:szCs w:val="16"/>
              </w:rPr>
              <w:t xml:space="preserve">an ABC brainstorm about the </w:t>
            </w:r>
            <w:r w:rsidR="0059002E">
              <w:rPr>
                <w:sz w:val="16"/>
                <w:szCs w:val="16"/>
              </w:rPr>
              <w:t>brain and heart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AC568DE" w14:textId="20A5D226" w:rsidR="00F25CD6" w:rsidRPr="00F25CD6" w:rsidRDefault="006D568C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9E5D13">
              <w:rPr>
                <w:sz w:val="16"/>
                <w:szCs w:val="16"/>
              </w:rPr>
              <w:t>the human body</w:t>
            </w:r>
            <w:r>
              <w:rPr>
                <w:sz w:val="16"/>
                <w:szCs w:val="16"/>
              </w:rPr>
              <w:t xml:space="preserve"> from previous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 “Your </w:t>
            </w:r>
            <w:r w:rsidR="0059002E">
              <w:rPr>
                <w:sz w:val="16"/>
                <w:szCs w:val="16"/>
              </w:rPr>
              <w:t>Heart</w:t>
            </w:r>
            <w:r w:rsidR="009E5D13">
              <w:rPr>
                <w:sz w:val="16"/>
                <w:szCs w:val="16"/>
              </w:rPr>
              <w:t>.”</w:t>
            </w:r>
          </w:p>
        </w:tc>
        <w:tc>
          <w:tcPr>
            <w:tcW w:w="2614" w:type="dxa"/>
          </w:tcPr>
          <w:p w14:paraId="73428B2C" w14:textId="4E9951E9" w:rsidR="00FC3CC3" w:rsidRDefault="006D568C" w:rsidP="00704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9E5D13">
              <w:rPr>
                <w:sz w:val="16"/>
                <w:szCs w:val="16"/>
              </w:rPr>
              <w:t>Your Brain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 xml:space="preserve">article” </w:t>
            </w:r>
            <w:r w:rsidR="009E5D13">
              <w:rPr>
                <w:sz w:val="16"/>
                <w:szCs w:val="16"/>
              </w:rPr>
              <w:t xml:space="preserve">Your </w:t>
            </w:r>
            <w:r w:rsidR="0059002E">
              <w:rPr>
                <w:sz w:val="16"/>
                <w:szCs w:val="16"/>
              </w:rPr>
              <w:t>Heart</w:t>
            </w:r>
            <w:r w:rsidR="00656672">
              <w:rPr>
                <w:sz w:val="16"/>
                <w:szCs w:val="16"/>
              </w:rPr>
              <w:t>”</w:t>
            </w:r>
          </w:p>
          <w:p w14:paraId="2254BA6F" w14:textId="11728D1B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Students will write/research any questions they have about the</w:t>
            </w:r>
            <w:r w:rsidR="00656672">
              <w:rPr>
                <w:sz w:val="16"/>
                <w:szCs w:val="16"/>
              </w:rPr>
              <w:t xml:space="preserve"> article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12" w:type="dxa"/>
          </w:tcPr>
          <w:p w14:paraId="64D7DE76" w14:textId="05AC2D52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 xml:space="preserve">will read the </w:t>
            </w:r>
            <w:r w:rsidR="00664FFB">
              <w:rPr>
                <w:sz w:val="16"/>
                <w:szCs w:val="16"/>
              </w:rPr>
              <w:t>Science Connect from Open Court</w:t>
            </w:r>
            <w:r w:rsidRPr="0016538C">
              <w:rPr>
                <w:sz w:val="16"/>
                <w:szCs w:val="16"/>
              </w:rPr>
              <w:t>.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21C6592C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59002E">
              <w:rPr>
                <w:b/>
                <w:bCs/>
                <w:sz w:val="16"/>
                <w:szCs w:val="16"/>
              </w:rPr>
              <w:t>How Am I Like You?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731358BF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 xml:space="preserve">the </w:t>
            </w:r>
            <w:r>
              <w:rPr>
                <w:b/>
                <w:bCs/>
                <w:sz w:val="16"/>
                <w:szCs w:val="16"/>
              </w:rPr>
              <w:t xml:space="preserve">text feature </w:t>
            </w:r>
            <w:r w:rsidR="0059002E" w:rsidRPr="0059002E">
              <w:rPr>
                <w:b/>
                <w:bCs/>
                <w:sz w:val="16"/>
                <w:szCs w:val="16"/>
                <w:highlight w:val="green"/>
              </w:rPr>
              <w:t>chart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14:paraId="2780E721" w14:textId="5D0A7F7A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59002E">
              <w:rPr>
                <w:b/>
                <w:bCs/>
                <w:sz w:val="16"/>
                <w:szCs w:val="16"/>
              </w:rPr>
              <w:t>How Am I Like You?</w:t>
            </w:r>
            <w:r>
              <w:rPr>
                <w:b/>
                <w:bCs/>
                <w:sz w:val="16"/>
                <w:szCs w:val="16"/>
              </w:rPr>
              <w:t>” activity</w:t>
            </w:r>
          </w:p>
        </w:tc>
        <w:tc>
          <w:tcPr>
            <w:tcW w:w="2790" w:type="dxa"/>
            <w:gridSpan w:val="2"/>
          </w:tcPr>
          <w:p w14:paraId="172F9650" w14:textId="3D28DBEA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7F0E07">
              <w:rPr>
                <w:sz w:val="16"/>
                <w:szCs w:val="16"/>
              </w:rPr>
              <w:t>Your</w:t>
            </w:r>
            <w:r w:rsidR="0059002E">
              <w:rPr>
                <w:sz w:val="16"/>
                <w:szCs w:val="16"/>
              </w:rPr>
              <w:t xml:space="preserve"> Heart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A30F51A" w14:textId="555E3382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 xml:space="preserve">e KWL about the </w:t>
            </w:r>
            <w:r w:rsidR="0059002E">
              <w:rPr>
                <w:sz w:val="16"/>
                <w:szCs w:val="16"/>
              </w:rPr>
              <w:t>heart</w:t>
            </w:r>
            <w:r>
              <w:rPr>
                <w:sz w:val="16"/>
                <w:szCs w:val="16"/>
              </w:rPr>
              <w:t>.</w:t>
            </w:r>
          </w:p>
          <w:p w14:paraId="2B2072E8" w14:textId="0A6C0500" w:rsidR="007D2D5C" w:rsidRPr="006D2A56" w:rsidRDefault="007D2D5C" w:rsidP="006D56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73248D66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9E5D13">
              <w:rPr>
                <w:sz w:val="16"/>
                <w:szCs w:val="16"/>
              </w:rPr>
              <w:t xml:space="preserve">Your </w:t>
            </w:r>
            <w:r w:rsidR="0059002E">
              <w:rPr>
                <w:sz w:val="16"/>
                <w:szCs w:val="16"/>
              </w:rPr>
              <w:t>Heart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1409BF54" w:rsidR="007A1B5A" w:rsidRPr="00F07E5A" w:rsidRDefault="00D6061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9E5D13">
              <w:rPr>
                <w:sz w:val="16"/>
                <w:szCs w:val="16"/>
              </w:rPr>
              <w:t xml:space="preserve">Your </w:t>
            </w:r>
            <w:r w:rsidR="0059002E">
              <w:rPr>
                <w:sz w:val="16"/>
                <w:szCs w:val="16"/>
              </w:rPr>
              <w:t>Heart</w:t>
            </w:r>
            <w:r w:rsidR="00B76390">
              <w:rPr>
                <w:sz w:val="16"/>
                <w:szCs w:val="16"/>
              </w:rPr>
              <w:t>”</w:t>
            </w:r>
          </w:p>
        </w:tc>
        <w:tc>
          <w:tcPr>
            <w:tcW w:w="2614" w:type="dxa"/>
          </w:tcPr>
          <w:p w14:paraId="18105256" w14:textId="5AC87FC5" w:rsidR="007A1B5A" w:rsidRPr="00F07E5A" w:rsidRDefault="0039668F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9E5D13">
              <w:rPr>
                <w:sz w:val="16"/>
                <w:szCs w:val="16"/>
              </w:rPr>
              <w:t xml:space="preserve">Your </w:t>
            </w:r>
            <w:r w:rsidR="0059002E">
              <w:rPr>
                <w:sz w:val="16"/>
                <w:szCs w:val="16"/>
              </w:rPr>
              <w:t>Heart</w:t>
            </w:r>
            <w:r w:rsidR="00B76390">
              <w:rPr>
                <w:sz w:val="16"/>
                <w:szCs w:val="16"/>
              </w:rPr>
              <w:t>”</w:t>
            </w:r>
          </w:p>
        </w:tc>
        <w:tc>
          <w:tcPr>
            <w:tcW w:w="2612" w:type="dxa"/>
          </w:tcPr>
          <w:p w14:paraId="453369DC" w14:textId="7E139083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656672">
              <w:rPr>
                <w:rFonts w:ascii="Times New Roman" w:hAnsi="Times New Roman"/>
                <w:sz w:val="16"/>
                <w:szCs w:val="16"/>
              </w:rPr>
              <w:t>article “</w:t>
            </w:r>
            <w:r w:rsidR="007F0E07">
              <w:rPr>
                <w:rFonts w:ascii="Times New Roman" w:hAnsi="Times New Roman"/>
                <w:sz w:val="16"/>
                <w:szCs w:val="16"/>
              </w:rPr>
              <w:t xml:space="preserve">Your </w:t>
            </w:r>
            <w:r w:rsidR="0059002E">
              <w:rPr>
                <w:rFonts w:ascii="Times New Roman" w:hAnsi="Times New Roman"/>
                <w:sz w:val="16"/>
                <w:szCs w:val="16"/>
              </w:rPr>
              <w:t>Heart</w:t>
            </w:r>
            <w:r w:rsidR="00656672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46F97AAA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085B0C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7F0E07">
              <w:rPr>
                <w:sz w:val="16"/>
                <w:szCs w:val="16"/>
              </w:rPr>
              <w:t>Your</w:t>
            </w:r>
            <w:r w:rsidR="0059002E">
              <w:rPr>
                <w:sz w:val="16"/>
                <w:szCs w:val="16"/>
              </w:rPr>
              <w:t xml:space="preserve"> Heart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A5509" w14:textId="77777777" w:rsidR="00D71EE0" w:rsidRDefault="00D71EE0" w:rsidP="00857076">
      <w:r>
        <w:separator/>
      </w:r>
    </w:p>
  </w:endnote>
  <w:endnote w:type="continuationSeparator" w:id="0">
    <w:p w14:paraId="597B5A77" w14:textId="77777777" w:rsidR="00D71EE0" w:rsidRDefault="00D71EE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F3077" w14:textId="77777777" w:rsidR="00D71EE0" w:rsidRDefault="00D71EE0" w:rsidP="00857076">
      <w:r>
        <w:separator/>
      </w:r>
    </w:p>
  </w:footnote>
  <w:footnote w:type="continuationSeparator" w:id="0">
    <w:p w14:paraId="48D27B75" w14:textId="77777777" w:rsidR="00D71EE0" w:rsidRDefault="00D71EE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80D0A"/>
    <w:rsid w:val="000810C0"/>
    <w:rsid w:val="00085B0C"/>
    <w:rsid w:val="000A4B99"/>
    <w:rsid w:val="000A5059"/>
    <w:rsid w:val="000B17AA"/>
    <w:rsid w:val="000B5FF9"/>
    <w:rsid w:val="000C3D8C"/>
    <w:rsid w:val="000C51F0"/>
    <w:rsid w:val="000E6AF2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F0436"/>
    <w:rsid w:val="0024359F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16412"/>
    <w:rsid w:val="00316FFB"/>
    <w:rsid w:val="00380F50"/>
    <w:rsid w:val="0039668F"/>
    <w:rsid w:val="003B3EA8"/>
    <w:rsid w:val="003C12C8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5016AE"/>
    <w:rsid w:val="00530A91"/>
    <w:rsid w:val="00541B6E"/>
    <w:rsid w:val="00553220"/>
    <w:rsid w:val="00587177"/>
    <w:rsid w:val="0059002E"/>
    <w:rsid w:val="005935E0"/>
    <w:rsid w:val="005935FC"/>
    <w:rsid w:val="005A763F"/>
    <w:rsid w:val="005B5848"/>
    <w:rsid w:val="005D09B6"/>
    <w:rsid w:val="005D3B8D"/>
    <w:rsid w:val="005F3E1A"/>
    <w:rsid w:val="005F4763"/>
    <w:rsid w:val="00604FA1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E4476"/>
    <w:rsid w:val="008F0A91"/>
    <w:rsid w:val="009007B8"/>
    <w:rsid w:val="009026BA"/>
    <w:rsid w:val="0090567A"/>
    <w:rsid w:val="00910FB8"/>
    <w:rsid w:val="00925D15"/>
    <w:rsid w:val="0094442D"/>
    <w:rsid w:val="0094535F"/>
    <w:rsid w:val="0095060D"/>
    <w:rsid w:val="00953585"/>
    <w:rsid w:val="009605B5"/>
    <w:rsid w:val="009731F9"/>
    <w:rsid w:val="0099744B"/>
    <w:rsid w:val="009A5994"/>
    <w:rsid w:val="009E2A4F"/>
    <w:rsid w:val="009E5D13"/>
    <w:rsid w:val="009F7E97"/>
    <w:rsid w:val="00A04738"/>
    <w:rsid w:val="00A23D16"/>
    <w:rsid w:val="00A85694"/>
    <w:rsid w:val="00A905B9"/>
    <w:rsid w:val="00AA5AF9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3070A"/>
    <w:rsid w:val="00C34424"/>
    <w:rsid w:val="00C42C21"/>
    <w:rsid w:val="00C61774"/>
    <w:rsid w:val="00C70745"/>
    <w:rsid w:val="00C90FF6"/>
    <w:rsid w:val="00CA27FE"/>
    <w:rsid w:val="00CE4F5E"/>
    <w:rsid w:val="00CF14FB"/>
    <w:rsid w:val="00CF46F4"/>
    <w:rsid w:val="00D0321F"/>
    <w:rsid w:val="00D11B7A"/>
    <w:rsid w:val="00D15574"/>
    <w:rsid w:val="00D1655A"/>
    <w:rsid w:val="00D20990"/>
    <w:rsid w:val="00D26D7C"/>
    <w:rsid w:val="00D45CCD"/>
    <w:rsid w:val="00D53733"/>
    <w:rsid w:val="00D6061A"/>
    <w:rsid w:val="00D62281"/>
    <w:rsid w:val="00D71EE0"/>
    <w:rsid w:val="00D956D0"/>
    <w:rsid w:val="00D96845"/>
    <w:rsid w:val="00DD2A3F"/>
    <w:rsid w:val="00DD5315"/>
    <w:rsid w:val="00DE2A17"/>
    <w:rsid w:val="00E036DE"/>
    <w:rsid w:val="00E52075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6</TotalTime>
  <Pages>2</Pages>
  <Words>982</Words>
  <Characters>5404</Characters>
  <Application>Microsoft Office Word</Application>
  <DocSecurity>0</DocSecurity>
  <Lines>415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2023-12-04T14:08:00Z</cp:lastPrinted>
  <dcterms:created xsi:type="dcterms:W3CDTF">2024-12-16T03:58:00Z</dcterms:created>
  <dcterms:modified xsi:type="dcterms:W3CDTF">2025-01-17T04:06:00Z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